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hanging="0"/>
        <w:rPr>
          <w:b/>
          <w:b/>
        </w:rPr>
      </w:pPr>
      <w:r>
        <w:rPr>
          <w:b/>
        </w:rPr>
      </w:r>
    </w:p>
    <w:p>
      <w:pPr>
        <w:pStyle w:val="Normal"/>
        <w:ind w:left="0" w:hanging="0"/>
        <w:rPr>
          <w:b/>
          <w:b/>
        </w:rPr>
      </w:pPr>
      <w:r>
        <w:rPr>
          <w:b/>
        </w:rPr>
      </w:r>
    </w:p>
    <w:p>
      <w:pPr>
        <w:pStyle w:val="Normal"/>
        <w:ind w:left="1292" w:firstLine="124"/>
        <w:rPr>
          <w:b/>
          <w:b/>
        </w:rPr>
      </w:pPr>
      <w:r>
        <w:drawing>
          <wp:anchor behindDoc="0" distT="0" distB="0" distL="133350" distR="123190" simplePos="0" locked="0" layoutInCell="1" allowOverlap="1" relativeHeight="2">
            <wp:simplePos x="0" y="0"/>
            <wp:positionH relativeFrom="column">
              <wp:posOffset>168910</wp:posOffset>
            </wp:positionH>
            <wp:positionV relativeFrom="paragraph">
              <wp:posOffset>-54610</wp:posOffset>
            </wp:positionV>
            <wp:extent cx="600710" cy="826770"/>
            <wp:effectExtent l="0" t="0" r="0" b="0"/>
            <wp:wrapNone/>
            <wp:docPr id="1" name="Obraz 0" descr="ind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0" descr="indeks.png"/>
                    <pic:cNvPicPr>
                      <a:picLocks noChangeAspect="1" noChangeArrowheads="1"/>
                    </pic:cNvPicPr>
                  </pic:nvPicPr>
                  <pic:blipFill>
                    <a:blip r:embed="rId2"/>
                    <a:stretch>
                      <a:fillRect/>
                    </a:stretch>
                  </pic:blipFill>
                  <pic:spPr bwMode="auto">
                    <a:xfrm>
                      <a:off x="0" y="0"/>
                      <a:ext cx="600710" cy="826770"/>
                    </a:xfrm>
                    <a:prstGeom prst="rect">
                      <a:avLst/>
                    </a:prstGeom>
                  </pic:spPr>
                </pic:pic>
              </a:graphicData>
            </a:graphic>
          </wp:anchor>
        </w:drawing>
      </w:r>
      <w:r>
        <w:rPr>
          <w:b/>
        </w:rPr>
        <w:t>G</w:t>
      </w:r>
      <w:r>
        <w:rPr>
          <w:b/>
        </w:rPr>
        <w:t>mina Miłosław</w:t>
      </w:r>
    </w:p>
    <w:p>
      <w:pPr>
        <w:pStyle w:val="Normal"/>
        <w:ind w:left="1168" w:firstLine="248"/>
        <w:rPr>
          <w:b/>
          <w:b/>
        </w:rPr>
      </w:pPr>
      <w:r>
        <w:rPr>
          <w:b/>
        </w:rPr>
        <w:t>Ul. Wrzesińska 19</w:t>
      </w:r>
    </w:p>
    <w:p>
      <w:pPr>
        <w:pStyle w:val="Normal"/>
        <w:ind w:left="1044" w:firstLine="372"/>
        <w:rPr>
          <w:b/>
          <w:b/>
        </w:rPr>
      </w:pPr>
      <w:r>
        <w:rPr>
          <w:b/>
        </w:rPr>
        <w:t>62 – 320 Miłosław</w:t>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jc w:val="center"/>
        <w:rPr>
          <w:b/>
          <w:b/>
        </w:rPr>
      </w:pPr>
      <w:r>
        <w:rPr>
          <w:b/>
        </w:rPr>
        <w:t>SPECYFIKACJA ISTOTNYCH WARUNKÓW ZAMÓWIENIA</w:t>
      </w:r>
    </w:p>
    <w:p>
      <w:pPr>
        <w:pStyle w:val="Normal"/>
        <w:jc w:val="center"/>
        <w:rPr>
          <w:b/>
          <w:b/>
        </w:rPr>
      </w:pPr>
      <w:r>
        <w:rPr>
          <w:b/>
        </w:rPr>
        <w:t>(SIWZ)</w:t>
      </w:r>
    </w:p>
    <w:p>
      <w:pPr>
        <w:pStyle w:val="Normal"/>
        <w:jc w:val="center"/>
        <w:rPr/>
      </w:pPr>
      <w:r>
        <w:rPr>
          <w:b/>
        </w:rPr>
        <w:t>nr sprawy: IŚR.271.ZP.</w:t>
      </w:r>
      <w:r>
        <w:rPr>
          <w:b/>
        </w:rPr>
        <w:t>9</w:t>
      </w:r>
      <w:r>
        <w:rPr>
          <w:b/>
        </w:rPr>
        <w:t>.2018</w:t>
      </w:r>
    </w:p>
    <w:p>
      <w:pPr>
        <w:pStyle w:val="Normal"/>
        <w:jc w:val="center"/>
        <w:rPr>
          <w:b/>
          <w:b/>
        </w:rPr>
      </w:pPr>
      <w:r>
        <w:rPr>
          <w:b/>
        </w:rPr>
      </w:r>
    </w:p>
    <w:p>
      <w:pPr>
        <w:pStyle w:val="Normal"/>
        <w:jc w:val="center"/>
        <w:rPr>
          <w:b/>
          <w:b/>
        </w:rPr>
      </w:pPr>
      <w:r>
        <w:rPr>
          <w:b/>
        </w:rPr>
      </w:r>
    </w:p>
    <w:p>
      <w:pPr>
        <w:pStyle w:val="Normal"/>
        <w:jc w:val="center"/>
        <w:rPr/>
      </w:pPr>
      <w:r>
        <w:rPr>
          <w:b/>
        </w:rPr>
        <w:t>w postępowaniu o udzielenie zamówienia publicznego</w:t>
        <w:br/>
        <w:t xml:space="preserve">prowadzonym w trybie </w:t>
      </w:r>
      <w:r>
        <w:rPr>
          <w:b/>
          <w:u w:val="single"/>
        </w:rPr>
        <w:t>przetargu nieograniczonego</w:t>
      </w:r>
      <w:r>
        <w:rPr>
          <w:b/>
        </w:rPr>
        <w:t>,</w:t>
        <w:br/>
      </w:r>
      <w:r>
        <w:rPr/>
        <w:t>którego wartość szacunkowa nie przekracza kwot określonych w przepisach</w:t>
        <w:br/>
        <w:t>wydanych na podstawie art.11 ust.8 Prawo zamówień publicznych dla zadania pn.:</w:t>
      </w:r>
    </w:p>
    <w:p>
      <w:pPr>
        <w:pStyle w:val="Normal"/>
        <w:jc w:val="center"/>
        <w:rPr/>
      </w:pPr>
      <w:r>
        <w:rPr/>
      </w:r>
    </w:p>
    <w:p>
      <w:pPr>
        <w:pStyle w:val="Normal"/>
        <w:jc w:val="center"/>
        <w:rPr/>
      </w:pPr>
      <w:r>
        <w:rPr/>
      </w:r>
    </w:p>
    <w:p>
      <w:pPr>
        <w:pStyle w:val="Normal"/>
        <w:jc w:val="center"/>
        <w:rPr/>
      </w:pPr>
      <w:r>
        <w:rPr/>
      </w:r>
    </w:p>
    <w:p>
      <w:pPr>
        <w:pStyle w:val="Normal"/>
        <w:ind w:left="0" w:hanging="0"/>
        <w:jc w:val="center"/>
        <w:rPr/>
      </w:pPr>
      <w:bookmarkStart w:id="0" w:name="__DdeLink__1439_2681208463"/>
      <w:r>
        <w:rPr>
          <w:b/>
          <w:bCs/>
          <w:color w:val="000000"/>
          <w:sz w:val="28"/>
          <w:szCs w:val="28"/>
        </w:rPr>
        <w:t>Termomodernizacja budynku Urzędu Gminy w Miłosławiu</w:t>
      </w:r>
      <w:bookmarkEnd w:id="0"/>
      <w:r>
        <w:rPr>
          <w:b/>
          <w:bCs/>
          <w:color w:val="000000"/>
          <w:sz w:val="28"/>
          <w:szCs w:val="28"/>
        </w:rPr>
        <w:t xml:space="preserve"> I</w:t>
      </w:r>
      <w:r>
        <w:rPr>
          <w:b/>
          <w:bCs/>
          <w:color w:val="000000"/>
          <w:sz w:val="28"/>
          <w:szCs w:val="28"/>
        </w:rPr>
        <w:t>I</w:t>
      </w:r>
      <w:r>
        <w:rPr>
          <w:b/>
          <w:bCs/>
          <w:color w:val="000000"/>
          <w:sz w:val="28"/>
          <w:szCs w:val="28"/>
        </w:rPr>
        <w:t>I przetarg</w:t>
      </w:r>
      <w:r>
        <w:rPr>
          <w:rFonts w:eastAsia="Arial Narrow"/>
          <w:b/>
          <w:i/>
          <w:color w:val="000000"/>
          <w:sz w:val="18"/>
          <w:szCs w:val="18"/>
          <w:lang w:eastAsia="pl-PL"/>
        </w:rPr>
        <w:br/>
      </w:r>
      <w:r>
        <w:rPr>
          <w:rFonts w:eastAsia="Calibri"/>
          <w:b/>
          <w:bCs/>
          <w:sz w:val="18"/>
          <w:szCs w:val="18"/>
        </w:rPr>
        <w:br/>
      </w:r>
    </w:p>
    <w:p>
      <w:pPr>
        <w:pStyle w:val="Normal"/>
        <w:ind w:left="0" w:hanging="0"/>
        <w:jc w:val="center"/>
        <w:rPr>
          <w:b/>
          <w:b/>
          <w:bCs/>
          <w:sz w:val="18"/>
          <w:szCs w:val="18"/>
        </w:rPr>
      </w:pPr>
      <w:r>
        <w:rPr>
          <w:rFonts w:eastAsia="Calibri"/>
          <w:b/>
          <w:sz w:val="18"/>
          <w:szCs w:val="18"/>
        </w:rPr>
        <w:t>Wspólny Słownik Zamówień, nazwa i kod CPV:</w:t>
        <w:br/>
      </w:r>
    </w:p>
    <w:p>
      <w:pPr>
        <w:pStyle w:val="Normal"/>
        <w:ind w:left="360" w:hanging="0"/>
        <w:jc w:val="center"/>
        <w:rPr>
          <w:color w:val="CE181E"/>
        </w:rPr>
      </w:pPr>
      <w:r>
        <w:rPr>
          <w:b/>
          <w:color w:val="000000"/>
          <w:sz w:val="18"/>
        </w:rPr>
        <w:t>45321000 - 3 Izolacja cieplna</w:t>
      </w:r>
    </w:p>
    <w:p>
      <w:pPr>
        <w:pStyle w:val="Normal"/>
        <w:jc w:val="center"/>
        <w:rPr>
          <w:b/>
          <w:b/>
          <w:color w:val="CE181E"/>
        </w:rPr>
      </w:pPr>
      <w:r>
        <w:rPr>
          <w:b/>
          <w:color w:val="CE181E"/>
        </w:rPr>
      </w:r>
    </w:p>
    <w:p>
      <w:pPr>
        <w:pStyle w:val="Default"/>
        <w:rPr/>
      </w:pPr>
      <w:r>
        <w:rPr/>
      </w:r>
    </w:p>
    <w:p>
      <w:pPr>
        <w:pStyle w:val="Default"/>
        <w:rPr/>
      </w:pPr>
      <w:r>
        <w:rPr/>
      </w:r>
    </w:p>
    <w:p>
      <w:pPr>
        <w:pStyle w:val="Default"/>
        <w:rPr/>
      </w:pPr>
      <w:r>
        <w:rPr/>
      </w:r>
    </w:p>
    <w:p>
      <w:pPr>
        <w:pStyle w:val="Default"/>
        <w:rPr/>
      </w:pPr>
      <w:r>
        <w:rPr/>
      </w:r>
    </w:p>
    <w:p>
      <w:pPr>
        <w:pStyle w:val="Default"/>
        <w:rPr/>
      </w:pPr>
      <w:r>
        <w:rPr/>
      </w:r>
    </w:p>
    <w:p>
      <w:pPr>
        <w:pStyle w:val="Default"/>
        <w:rPr/>
      </w:pPr>
      <w:r>
        <w:rPr/>
      </w:r>
    </w:p>
    <w:p>
      <w:pPr>
        <w:pStyle w:val="Default"/>
        <w:rPr/>
      </w:pPr>
      <w:r>
        <w:rPr/>
      </w:r>
    </w:p>
    <w:p>
      <w:pPr>
        <w:pStyle w:val="Default"/>
        <w:jc w:val="right"/>
        <w:rPr/>
      </w:pPr>
      <w:r>
        <w:rPr>
          <w:rFonts w:cs="Times New Roman" w:ascii="Times New Roman" w:hAnsi="Times New Roman"/>
          <w:color w:val="auto"/>
        </w:rPr>
        <w:t xml:space="preserve">Zatwierdzam, </w:t>
      </w:r>
      <w:r>
        <w:rPr>
          <w:rFonts w:cs="Times New Roman" w:ascii="Times New Roman" w:hAnsi="Times New Roman"/>
        </w:rPr>
        <w:t xml:space="preserve">dn. </w:t>
      </w:r>
      <w:r>
        <w:rPr>
          <w:rFonts w:cs="Times New Roman" w:ascii="Times New Roman" w:hAnsi="Times New Roman"/>
        </w:rPr>
        <w:t>24</w:t>
      </w:r>
      <w:r>
        <w:rPr>
          <w:rFonts w:cs="Times New Roman" w:ascii="Times New Roman" w:hAnsi="Times New Roman"/>
        </w:rPr>
        <w:t>.08.2018 r.</w:t>
      </w:r>
    </w:p>
    <w:p>
      <w:pPr>
        <w:pStyle w:val="Default"/>
        <w:jc w:val="right"/>
        <w:rPr>
          <w:rFonts w:ascii="Times New Roman" w:hAnsi="Times New Roman" w:cs="Times New Roman"/>
          <w:color w:val="auto"/>
        </w:rPr>
      </w:pPr>
      <w:r>
        <w:rPr>
          <w:rFonts w:cs="Times New Roman" w:ascii="Times New Roman" w:hAnsi="Times New Roman"/>
          <w:color w:val="auto"/>
        </w:rPr>
      </w:r>
    </w:p>
    <w:p>
      <w:pPr>
        <w:pStyle w:val="Default"/>
        <w:rPr>
          <w:sz w:val="23"/>
          <w:szCs w:val="23"/>
        </w:rPr>
      </w:pPr>
      <w:r>
        <w:rPr>
          <w:sz w:val="23"/>
          <w:szCs w:val="23"/>
        </w:rPr>
      </w:r>
    </w:p>
    <w:p>
      <w:pPr>
        <w:pStyle w:val="Default"/>
        <w:rPr>
          <w:sz w:val="23"/>
          <w:szCs w:val="23"/>
        </w:rPr>
      </w:pPr>
      <w:r>
        <w:rPr>
          <w:sz w:val="23"/>
          <w:szCs w:val="23"/>
        </w:rPr>
      </w:r>
    </w:p>
    <w:p>
      <w:pPr>
        <w:pStyle w:val="Default"/>
        <w:rPr>
          <w:sz w:val="23"/>
          <w:szCs w:val="23"/>
        </w:rPr>
      </w:pPr>
      <w:r>
        <w:rPr>
          <w:sz w:val="23"/>
          <w:szCs w:val="23"/>
        </w:rPr>
      </w:r>
    </w:p>
    <w:p>
      <w:pPr>
        <w:pStyle w:val="Default"/>
        <w:rPr>
          <w:sz w:val="23"/>
          <w:szCs w:val="23"/>
        </w:rPr>
      </w:pPr>
      <w:r>
        <w:rPr>
          <w:sz w:val="23"/>
          <w:szCs w:val="23"/>
        </w:rPr>
      </w:r>
    </w:p>
    <w:p>
      <w:pPr>
        <w:pStyle w:val="Default"/>
        <w:rPr>
          <w:sz w:val="23"/>
          <w:szCs w:val="23"/>
        </w:rPr>
      </w:pPr>
      <w:r>
        <w:rPr>
          <w:sz w:val="23"/>
          <w:szCs w:val="23"/>
        </w:rPr>
      </w:r>
    </w:p>
    <w:p>
      <w:pPr>
        <w:pStyle w:val="Default"/>
        <w:jc w:val="center"/>
        <w:rPr>
          <w:sz w:val="23"/>
          <w:szCs w:val="23"/>
        </w:rPr>
      </w:pPr>
      <w:r>
        <w:rPr>
          <w:sz w:val="23"/>
          <w:szCs w:val="23"/>
        </w:rPr>
      </w:r>
    </w:p>
    <w:p>
      <w:pPr>
        <w:pStyle w:val="Default"/>
        <w:jc w:val="center"/>
        <w:rPr>
          <w:sz w:val="23"/>
          <w:szCs w:val="23"/>
        </w:rPr>
      </w:pPr>
      <w:r>
        <w:rPr>
          <w:sz w:val="23"/>
          <w:szCs w:val="23"/>
        </w:rPr>
      </w:r>
    </w:p>
    <w:p>
      <w:pPr>
        <w:pStyle w:val="Default"/>
        <w:jc w:val="center"/>
        <w:rPr>
          <w:rFonts w:ascii="Times New Roman" w:hAnsi="Times New Roman" w:cs="Times New Roman"/>
          <w:sz w:val="23"/>
          <w:szCs w:val="23"/>
        </w:rPr>
      </w:pPr>
      <w:r>
        <w:rPr>
          <w:sz w:val="23"/>
          <w:szCs w:val="23"/>
        </w:rPr>
        <w:br/>
        <w:br/>
        <w:br/>
      </w:r>
      <w:r>
        <w:rPr>
          <w:rFonts w:cs="Times New Roman" w:ascii="Times New Roman" w:hAnsi="Times New Roman"/>
          <w:sz w:val="23"/>
          <w:szCs w:val="23"/>
        </w:rPr>
        <w:t>Postępowanie prowadzone w trybie przetargu nieograniczonego</w:t>
      </w:r>
    </w:p>
    <w:p>
      <w:pPr>
        <w:pStyle w:val="Default"/>
        <w:jc w:val="center"/>
        <w:rPr>
          <w:rFonts w:ascii="Times New Roman" w:hAnsi="Times New Roman" w:cs="Times New Roman"/>
          <w:sz w:val="23"/>
          <w:szCs w:val="23"/>
        </w:rPr>
      </w:pPr>
      <w:r>
        <w:rPr>
          <w:rFonts w:cs="Times New Roman" w:ascii="Times New Roman" w:hAnsi="Times New Roman"/>
          <w:sz w:val="23"/>
          <w:szCs w:val="23"/>
        </w:rPr>
        <w:t>na podstawie ustawy z dnia 29 stycznia 2004r. Prawo zamówień publicznych</w:t>
      </w:r>
    </w:p>
    <w:p>
      <w:pPr>
        <w:pStyle w:val="Default"/>
        <w:jc w:val="center"/>
        <w:rPr>
          <w:rFonts w:ascii="Times New Roman" w:hAnsi="Times New Roman" w:cs="Times New Roman"/>
          <w:sz w:val="23"/>
          <w:szCs w:val="23"/>
        </w:rPr>
      </w:pPr>
      <w:r>
        <w:rPr>
          <w:rFonts w:cs="Times New Roman" w:ascii="Times New Roman" w:hAnsi="Times New Roman"/>
          <w:sz w:val="23"/>
          <w:szCs w:val="23"/>
        </w:rPr>
        <w:t>(Dz. U. z 2017r. poz. 1579 ze zm.)</w:t>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18"/>
          <w:szCs w:val="20"/>
        </w:rPr>
      </w:pPr>
      <w:r>
        <w:rPr>
          <w:sz w:val="18"/>
          <w:szCs w:val="20"/>
        </w:rPr>
        <w:t xml:space="preserve">Zamawiający oczekuje, że Wykonawcy zapoznają się dokładnie z treścią niniejszej SIWZ. </w:t>
      </w:r>
    </w:p>
    <w:p>
      <w:pPr>
        <w:pStyle w:val="Normal"/>
        <w:jc w:val="center"/>
        <w:rPr>
          <w:sz w:val="18"/>
          <w:szCs w:val="20"/>
        </w:rPr>
      </w:pPr>
      <w:r>
        <w:rPr>
          <w:sz w:val="18"/>
          <w:szCs w:val="20"/>
        </w:rPr>
        <w:t>Wykonawca ponosi ryzyko niedostarczenia wszystkich wymaganych informacji i dokumentów</w:t>
      </w:r>
    </w:p>
    <w:p>
      <w:pPr>
        <w:pStyle w:val="Normal"/>
        <w:jc w:val="center"/>
        <w:rPr>
          <w:sz w:val="18"/>
          <w:szCs w:val="20"/>
        </w:rPr>
      </w:pPr>
      <w:r>
        <w:rPr>
          <w:sz w:val="18"/>
          <w:szCs w:val="20"/>
        </w:rPr>
        <w:t xml:space="preserve"> </w:t>
      </w:r>
      <w:r>
        <w:rPr>
          <w:sz w:val="18"/>
          <w:szCs w:val="20"/>
        </w:rPr>
        <w:t>oraz przedłożenia oferty nie odpowiadającej wymaganiom określonym przez Zamawiającego.</w:t>
      </w:r>
    </w:p>
    <w:p>
      <w:pPr>
        <w:pStyle w:val="Normal"/>
        <w:jc w:val="center"/>
        <w:rPr>
          <w:sz w:val="18"/>
          <w:szCs w:val="20"/>
        </w:rPr>
      </w:pPr>
      <w:r>
        <w:rPr>
          <w:sz w:val="18"/>
          <w:szCs w:val="20"/>
        </w:rPr>
      </w:r>
    </w:p>
    <w:p>
      <w:pPr>
        <w:pStyle w:val="Normal"/>
        <w:jc w:val="center"/>
        <w:rPr>
          <w:sz w:val="18"/>
          <w:szCs w:val="20"/>
        </w:rPr>
      </w:pPr>
      <w:r>
        <w:rPr>
          <w:sz w:val="18"/>
          <w:szCs w:val="20"/>
        </w:rPr>
      </w:r>
    </w:p>
    <w:p>
      <w:pPr>
        <w:pStyle w:val="Normal"/>
        <w:jc w:val="center"/>
        <w:rPr>
          <w:b/>
          <w:b/>
          <w:szCs w:val="20"/>
        </w:rPr>
      </w:pPr>
      <w:r>
        <w:rPr>
          <w:b/>
          <w:szCs w:val="20"/>
        </w:rPr>
        <w:t xml:space="preserve">Spis treści </w:t>
      </w:r>
    </w:p>
    <w:p>
      <w:pPr>
        <w:pStyle w:val="Normal"/>
        <w:jc w:val="center"/>
        <w:rPr/>
      </w:pPr>
      <w:r>
        <w:rPr/>
      </w:r>
    </w:p>
    <w:p>
      <w:pPr>
        <w:pStyle w:val="Spistreci1"/>
        <w:rPr>
          <w:rFonts w:ascii="Calibri" w:hAnsi="Calibri" w:cs="" w:asciiTheme="minorHAnsi" w:cstheme="minorBidi" w:hAnsiTheme="minorHAnsi"/>
          <w:lang w:eastAsia="pl-PL"/>
        </w:rPr>
      </w:pPr>
      <w:r>
        <w:fldChar w:fldCharType="begin"/>
      </w:r>
      <w:r>
        <w:rPr>
          <w:webHidden/>
          <w:rStyle w:val="Czeindeksu"/>
          <w:vanish w:val="false"/>
        </w:rPr>
        <w:instrText> TOC \z \o "1-9" \h</w:instrText>
      </w:r>
      <w:r>
        <w:rPr>
          <w:webHidden/>
          <w:rStyle w:val="Czeindeksu"/>
          <w:vanish w:val="false"/>
        </w:rPr>
        <w:fldChar w:fldCharType="separate"/>
      </w:r>
      <w:hyperlink w:anchor="_Toc496698263">
        <w:r>
          <w:rPr>
            <w:webHidden/>
          </w:rPr>
          <w:fldChar w:fldCharType="begin"/>
        </w:r>
        <w:r>
          <w:rPr>
            <w:webHidden/>
          </w:rPr>
          <w:instrText>PAGEREF _Toc496698263 \h</w:instrText>
        </w:r>
        <w:r>
          <w:rPr>
            <w:webHidden/>
          </w:rPr>
          <w:fldChar w:fldCharType="separate"/>
        </w:r>
        <w:r>
          <w:rPr>
            <w:webHidden/>
            <w:rStyle w:val="Czeindeksu"/>
            <w:vanish w:val="false"/>
          </w:rPr>
          <w:t>I.Nazwa i adres zamawiającego</w:t>
          <w:tab/>
          <w:t>3</w:t>
        </w:r>
        <w:r>
          <w:rPr>
            <w:webHidden/>
          </w:rPr>
          <w:fldChar w:fldCharType="end"/>
        </w:r>
      </w:hyperlink>
    </w:p>
    <w:p>
      <w:pPr>
        <w:pStyle w:val="Spistreci1"/>
        <w:rPr>
          <w:rFonts w:ascii="Calibri" w:hAnsi="Calibri" w:cs="" w:asciiTheme="minorHAnsi" w:cstheme="minorBidi" w:hAnsiTheme="minorHAnsi"/>
          <w:lang w:eastAsia="pl-PL"/>
        </w:rPr>
      </w:pPr>
      <w:hyperlink w:anchor="_Toc496698264">
        <w:r>
          <w:rPr>
            <w:webHidden/>
          </w:rPr>
          <w:fldChar w:fldCharType="begin"/>
        </w:r>
        <w:r>
          <w:rPr>
            <w:webHidden/>
          </w:rPr>
          <w:instrText>PAGEREF _Toc496698264 \h</w:instrText>
        </w:r>
        <w:r>
          <w:rPr>
            <w:webHidden/>
          </w:rPr>
          <w:fldChar w:fldCharType="separate"/>
        </w:r>
        <w:r>
          <w:rPr>
            <w:webHidden/>
            <w:rStyle w:val="Czeindeksu"/>
            <w:vanish w:val="false"/>
          </w:rPr>
          <w:t>II.Określenie trybu zamówienia</w:t>
          <w:tab/>
          <w:t>3</w:t>
        </w:r>
        <w:r>
          <w:rPr>
            <w:webHidden/>
          </w:rPr>
          <w:fldChar w:fldCharType="end"/>
        </w:r>
      </w:hyperlink>
    </w:p>
    <w:p>
      <w:pPr>
        <w:pStyle w:val="Spistreci1"/>
        <w:rPr>
          <w:rFonts w:ascii="Calibri" w:hAnsi="Calibri" w:cs="" w:asciiTheme="minorHAnsi" w:cstheme="minorBidi" w:hAnsiTheme="minorHAnsi"/>
          <w:lang w:eastAsia="pl-PL"/>
        </w:rPr>
      </w:pPr>
      <w:hyperlink w:anchor="_Toc496698265">
        <w:r>
          <w:rPr>
            <w:webHidden/>
          </w:rPr>
          <w:fldChar w:fldCharType="begin"/>
        </w:r>
        <w:r>
          <w:rPr>
            <w:webHidden/>
          </w:rPr>
          <w:instrText>PAGEREF _Toc496698265 \h</w:instrText>
        </w:r>
        <w:r>
          <w:rPr>
            <w:webHidden/>
          </w:rPr>
          <w:fldChar w:fldCharType="separate"/>
        </w:r>
        <w:r>
          <w:rPr>
            <w:webHidden/>
            <w:rStyle w:val="Czeindeksu"/>
            <w:vanish w:val="false"/>
          </w:rPr>
          <w:t>III.Opis przedmiotu zamówienia</w:t>
          <w:tab/>
          <w:t>3</w:t>
        </w:r>
        <w:r>
          <w:rPr>
            <w:webHidden/>
          </w:rPr>
          <w:fldChar w:fldCharType="end"/>
        </w:r>
      </w:hyperlink>
    </w:p>
    <w:p>
      <w:pPr>
        <w:pStyle w:val="Spistreci1"/>
        <w:rPr>
          <w:rFonts w:ascii="Calibri" w:hAnsi="Calibri" w:cs="" w:asciiTheme="minorHAnsi" w:cstheme="minorBidi" w:hAnsiTheme="minorHAnsi"/>
          <w:lang w:eastAsia="pl-PL"/>
        </w:rPr>
      </w:pPr>
      <w:hyperlink w:anchor="_Toc496698266">
        <w:r>
          <w:rPr>
            <w:webHidden/>
          </w:rPr>
          <w:fldChar w:fldCharType="begin"/>
        </w:r>
        <w:r>
          <w:rPr>
            <w:webHidden/>
          </w:rPr>
          <w:instrText>PAGEREF _Toc496698266 \h</w:instrText>
        </w:r>
        <w:r>
          <w:rPr>
            <w:webHidden/>
          </w:rPr>
          <w:fldChar w:fldCharType="separate"/>
        </w:r>
        <w:r>
          <w:rPr>
            <w:webHidden/>
            <w:rStyle w:val="Czeindeksu"/>
            <w:vanish w:val="false"/>
          </w:rPr>
          <w:t>IV.Termin wykonania zamówienia</w:t>
          <w:tab/>
          <w:t>5</w:t>
        </w:r>
        <w:r>
          <w:rPr>
            <w:webHidden/>
          </w:rPr>
          <w:fldChar w:fldCharType="end"/>
        </w:r>
      </w:hyperlink>
    </w:p>
    <w:p>
      <w:pPr>
        <w:pStyle w:val="Spistreci1"/>
        <w:rPr>
          <w:rFonts w:ascii="Calibri" w:hAnsi="Calibri" w:cs="" w:asciiTheme="minorHAnsi" w:cstheme="minorBidi" w:hAnsiTheme="minorHAnsi"/>
          <w:lang w:eastAsia="pl-PL"/>
        </w:rPr>
      </w:pPr>
      <w:hyperlink w:anchor="_Toc496698267">
        <w:r>
          <w:rPr>
            <w:webHidden/>
          </w:rPr>
          <w:fldChar w:fldCharType="begin"/>
        </w:r>
        <w:r>
          <w:rPr>
            <w:webHidden/>
          </w:rPr>
          <w:instrText>PAGEREF _Toc496698267 \h</w:instrText>
        </w:r>
        <w:r>
          <w:rPr>
            <w:webHidden/>
          </w:rPr>
          <w:fldChar w:fldCharType="separate"/>
        </w:r>
        <w:r>
          <w:rPr>
            <w:webHidden/>
            <w:rStyle w:val="Czeindeksu"/>
            <w:vanish w:val="false"/>
          </w:rPr>
          <w:t>V.Warunki udziału w postępowaniu</w:t>
          <w:tab/>
          <w:t>6</w:t>
        </w:r>
        <w:r>
          <w:rPr>
            <w:webHidden/>
          </w:rPr>
          <w:fldChar w:fldCharType="end"/>
        </w:r>
      </w:hyperlink>
    </w:p>
    <w:p>
      <w:pPr>
        <w:pStyle w:val="Spistreci1"/>
        <w:rPr>
          <w:rFonts w:ascii="Calibri" w:hAnsi="Calibri" w:cs="" w:asciiTheme="minorHAnsi" w:cstheme="minorBidi" w:hAnsiTheme="minorHAnsi"/>
          <w:lang w:eastAsia="pl-PL"/>
        </w:rPr>
      </w:pPr>
      <w:hyperlink w:anchor="_Toc496698268">
        <w:r>
          <w:rPr>
            <w:webHidden/>
            <w:rStyle w:val="Czeindeksu"/>
            <w:vanish w:val="false"/>
            <w:kern w:val="2"/>
            <w:lang w:eastAsia="pl-PL"/>
          </w:rPr>
          <w:t>Va.Podstawy wykluczenia</w:t>
        </w:r>
        <w:r>
          <w:rPr>
            <w:webHidden/>
          </w:rPr>
          <w:fldChar w:fldCharType="begin"/>
        </w:r>
        <w:r>
          <w:rPr>
            <w:webHidden/>
          </w:rPr>
          <w:instrText>PAGEREF _Toc496698268 \h</w:instrText>
        </w:r>
        <w:r>
          <w:rPr>
            <w:webHidden/>
          </w:rPr>
          <w:fldChar w:fldCharType="separate"/>
        </w:r>
        <w:r>
          <w:rPr>
            <w:rStyle w:val="Czeindeksu"/>
          </w:rPr>
          <w:tab/>
          <w:t>7</w:t>
        </w:r>
        <w:r>
          <w:rPr>
            <w:webHidden/>
          </w:rPr>
          <w:fldChar w:fldCharType="end"/>
        </w:r>
      </w:hyperlink>
    </w:p>
    <w:p>
      <w:pPr>
        <w:pStyle w:val="Spistreci1"/>
        <w:rPr>
          <w:rFonts w:ascii="Calibri" w:hAnsi="Calibri" w:cs="" w:asciiTheme="minorHAnsi" w:cstheme="minorBidi" w:hAnsiTheme="minorHAnsi"/>
          <w:lang w:eastAsia="pl-PL"/>
        </w:rPr>
      </w:pPr>
      <w:hyperlink w:anchor="_Toc496698269">
        <w:r>
          <w:rPr>
            <w:webHidden/>
          </w:rPr>
          <w:fldChar w:fldCharType="begin"/>
        </w:r>
        <w:r>
          <w:rPr>
            <w:webHidden/>
          </w:rPr>
          <w:instrText>PAGEREF _Toc496698269 \h</w:instrText>
        </w:r>
        <w:r>
          <w:rPr>
            <w:webHidden/>
          </w:rPr>
          <w:fldChar w:fldCharType="separate"/>
        </w:r>
        <w:r>
          <w:rPr>
            <w:webHidden/>
            <w:rStyle w:val="Czeindeksu"/>
            <w:vanish w:val="false"/>
          </w:rPr>
          <w:t>VI.Wykaz dokumentów i oświadczeń, potwierdzających spełnianie warunków udziału  w postępowaniu oraz brak podstaw wykluczenia</w:t>
          <w:tab/>
          <w:t>7</w:t>
        </w:r>
        <w:r>
          <w:rPr>
            <w:webHidden/>
          </w:rPr>
          <w:fldChar w:fldCharType="end"/>
        </w:r>
      </w:hyperlink>
    </w:p>
    <w:p>
      <w:pPr>
        <w:pStyle w:val="Spistreci1"/>
        <w:rPr>
          <w:rFonts w:ascii="Calibri" w:hAnsi="Calibri" w:cs="" w:asciiTheme="minorHAnsi" w:cstheme="minorBidi" w:hAnsiTheme="minorHAnsi"/>
          <w:lang w:eastAsia="pl-PL"/>
        </w:rPr>
      </w:pPr>
      <w:hyperlink w:anchor="_Toc496698270">
        <w:r>
          <w:rPr>
            <w:webHidden/>
          </w:rPr>
          <w:fldChar w:fldCharType="begin"/>
        </w:r>
        <w:r>
          <w:rPr>
            <w:webHidden/>
          </w:rPr>
          <w:instrText>PAGEREF _Toc496698270 \h</w:instrText>
        </w:r>
        <w:r>
          <w:rPr>
            <w:webHidden/>
          </w:rPr>
          <w:fldChar w:fldCharType="separate"/>
        </w:r>
        <w:r>
          <w:rPr>
            <w:webHidden/>
            <w:rStyle w:val="Czeindeksu"/>
            <w:vanish w:val="false"/>
          </w:rPr>
          <w:t>VII.Informacja o sposobie porozumiewania się zamawiającego z wykonawcami oraz przekazywania oświadczeń i dokumentów oraz osoby uprawnione do porozumiewania się  z wykonawcami</w:t>
          <w:tab/>
          <w:t>10</w:t>
        </w:r>
        <w:r>
          <w:rPr>
            <w:webHidden/>
          </w:rPr>
          <w:fldChar w:fldCharType="end"/>
        </w:r>
      </w:hyperlink>
    </w:p>
    <w:p>
      <w:pPr>
        <w:pStyle w:val="Spistreci1"/>
        <w:rPr>
          <w:rFonts w:ascii="Calibri" w:hAnsi="Calibri" w:cs="" w:asciiTheme="minorHAnsi" w:cstheme="minorBidi" w:hAnsiTheme="minorHAnsi"/>
          <w:lang w:eastAsia="pl-PL"/>
        </w:rPr>
      </w:pPr>
      <w:hyperlink w:anchor="_Toc496698271">
        <w:r>
          <w:rPr>
            <w:webHidden/>
            <w:rStyle w:val="Czeindeksu"/>
            <w:vanish w:val="false"/>
          </w:rPr>
          <w:t>VIII.</w:t>
        </w:r>
        <w:r>
          <w:rPr>
            <w:rStyle w:val="Czeindeksu"/>
            <w:rFonts w:cs="" w:ascii="Calibri" w:hAnsi="Calibri" w:asciiTheme="minorHAnsi" w:cstheme="minorBidi" w:hAnsiTheme="minorHAnsi"/>
            <w:lang w:eastAsia="pl-PL"/>
          </w:rPr>
          <w:tab/>
        </w:r>
        <w:r>
          <w:rPr>
            <w:webHidden/>
          </w:rPr>
          <w:fldChar w:fldCharType="begin"/>
        </w:r>
        <w:r>
          <w:rPr>
            <w:webHidden/>
          </w:rPr>
          <w:instrText>PAGEREF _Toc496698271 \h</w:instrText>
        </w:r>
        <w:r>
          <w:rPr>
            <w:webHidden/>
          </w:rPr>
          <w:fldChar w:fldCharType="separate"/>
        </w:r>
        <w:r>
          <w:rPr>
            <w:rStyle w:val="Czeindeksu"/>
          </w:rPr>
          <w:t>Informacja na temat wadium</w:t>
          <w:tab/>
          <w:t>10</w:t>
        </w:r>
        <w:r>
          <w:rPr>
            <w:webHidden/>
          </w:rPr>
          <w:fldChar w:fldCharType="end"/>
        </w:r>
      </w:hyperlink>
    </w:p>
    <w:p>
      <w:pPr>
        <w:pStyle w:val="Spistreci1"/>
        <w:rPr>
          <w:rFonts w:ascii="Calibri" w:hAnsi="Calibri" w:cs="" w:asciiTheme="minorHAnsi" w:cstheme="minorBidi" w:hAnsiTheme="minorHAnsi"/>
          <w:lang w:eastAsia="pl-PL"/>
        </w:rPr>
      </w:pPr>
      <w:hyperlink w:anchor="_Toc496698272">
        <w:r>
          <w:rPr>
            <w:webHidden/>
          </w:rPr>
          <w:fldChar w:fldCharType="begin"/>
        </w:r>
        <w:r>
          <w:rPr>
            <w:webHidden/>
          </w:rPr>
          <w:instrText>PAGEREF _Toc496698272 \h</w:instrText>
        </w:r>
        <w:r>
          <w:rPr>
            <w:webHidden/>
          </w:rPr>
          <w:fldChar w:fldCharType="separate"/>
        </w:r>
        <w:r>
          <w:rPr>
            <w:webHidden/>
            <w:rStyle w:val="Czeindeksu"/>
            <w:vanish w:val="false"/>
          </w:rPr>
          <w:t>IX.Termin związania ofertą</w:t>
          <w:tab/>
          <w:t>10</w:t>
        </w:r>
        <w:r>
          <w:rPr>
            <w:webHidden/>
          </w:rPr>
          <w:fldChar w:fldCharType="end"/>
        </w:r>
      </w:hyperlink>
    </w:p>
    <w:p>
      <w:pPr>
        <w:pStyle w:val="Spistreci1"/>
        <w:rPr>
          <w:rFonts w:ascii="Calibri" w:hAnsi="Calibri" w:cs="" w:asciiTheme="minorHAnsi" w:cstheme="minorBidi" w:hAnsiTheme="minorHAnsi"/>
          <w:lang w:eastAsia="pl-PL"/>
        </w:rPr>
      </w:pPr>
      <w:hyperlink w:anchor="_Toc496698273">
        <w:r>
          <w:rPr>
            <w:webHidden/>
          </w:rPr>
          <w:fldChar w:fldCharType="begin"/>
        </w:r>
        <w:r>
          <w:rPr>
            <w:webHidden/>
          </w:rPr>
          <w:instrText>PAGEREF _Toc496698273 \h</w:instrText>
        </w:r>
        <w:r>
          <w:rPr>
            <w:webHidden/>
          </w:rPr>
          <w:fldChar w:fldCharType="separate"/>
        </w:r>
        <w:r>
          <w:rPr>
            <w:webHidden/>
            <w:rStyle w:val="Czeindeksu"/>
            <w:vanish w:val="false"/>
          </w:rPr>
          <w:t>X.Opis sposobu przygotowania oferty</w:t>
          <w:tab/>
          <w:t>10</w:t>
        </w:r>
        <w:r>
          <w:rPr>
            <w:webHidden/>
          </w:rPr>
          <w:fldChar w:fldCharType="end"/>
        </w:r>
      </w:hyperlink>
    </w:p>
    <w:p>
      <w:pPr>
        <w:pStyle w:val="Spistreci1"/>
        <w:rPr>
          <w:rFonts w:ascii="Calibri" w:hAnsi="Calibri" w:cs="" w:asciiTheme="minorHAnsi" w:cstheme="minorBidi" w:hAnsiTheme="minorHAnsi"/>
          <w:lang w:eastAsia="pl-PL"/>
        </w:rPr>
      </w:pPr>
      <w:hyperlink w:anchor="_Toc496698274">
        <w:r>
          <w:rPr>
            <w:webHidden/>
          </w:rPr>
          <w:fldChar w:fldCharType="begin"/>
        </w:r>
        <w:r>
          <w:rPr>
            <w:webHidden/>
          </w:rPr>
          <w:instrText>PAGEREF _Toc496698274 \h</w:instrText>
        </w:r>
        <w:r>
          <w:rPr>
            <w:webHidden/>
          </w:rPr>
          <w:fldChar w:fldCharType="separate"/>
        </w:r>
        <w:r>
          <w:rPr>
            <w:webHidden/>
            <w:rStyle w:val="Czeindeksu"/>
            <w:vanish w:val="false"/>
          </w:rPr>
          <w:t>XI.Miejsce oraz termin składania ofert</w:t>
          <w:tab/>
          <w:t>15</w:t>
        </w:r>
        <w:r>
          <w:rPr>
            <w:webHidden/>
          </w:rPr>
          <w:fldChar w:fldCharType="end"/>
        </w:r>
      </w:hyperlink>
    </w:p>
    <w:p>
      <w:pPr>
        <w:pStyle w:val="Spistreci1"/>
        <w:rPr>
          <w:rFonts w:ascii="Calibri" w:hAnsi="Calibri" w:cs="" w:asciiTheme="minorHAnsi" w:cstheme="minorBidi" w:hAnsiTheme="minorHAnsi"/>
          <w:lang w:eastAsia="pl-PL"/>
        </w:rPr>
      </w:pPr>
      <w:hyperlink w:anchor="_Toc496698275">
        <w:r>
          <w:rPr>
            <w:webHidden/>
          </w:rPr>
          <w:fldChar w:fldCharType="begin"/>
        </w:r>
        <w:r>
          <w:rPr>
            <w:webHidden/>
          </w:rPr>
          <w:instrText>PAGEREF _Toc496698275 \h</w:instrText>
        </w:r>
        <w:r>
          <w:rPr>
            <w:webHidden/>
          </w:rPr>
          <w:fldChar w:fldCharType="separate"/>
        </w:r>
        <w:r>
          <w:rPr>
            <w:webHidden/>
            <w:rStyle w:val="Czeindeksu"/>
            <w:vanish w:val="false"/>
          </w:rPr>
          <w:t>XII.Opis sposobu obliczenia ceny</w:t>
          <w:tab/>
          <w:t>16</w:t>
        </w:r>
        <w:r>
          <w:rPr>
            <w:webHidden/>
          </w:rPr>
          <w:fldChar w:fldCharType="end"/>
        </w:r>
      </w:hyperlink>
    </w:p>
    <w:p>
      <w:pPr>
        <w:pStyle w:val="Spistreci1"/>
        <w:rPr>
          <w:rFonts w:ascii="Calibri" w:hAnsi="Calibri" w:cs="" w:asciiTheme="minorHAnsi" w:cstheme="minorBidi" w:hAnsiTheme="minorHAnsi"/>
          <w:lang w:eastAsia="pl-PL"/>
        </w:rPr>
      </w:pPr>
      <w:hyperlink w:anchor="_Toc496698276">
        <w:r>
          <w:rPr>
            <w:webHidden/>
            <w:rStyle w:val="Czeindeksu"/>
            <w:vanish w:val="false"/>
          </w:rPr>
          <w:t>XIII.</w:t>
        </w:r>
        <w:r>
          <w:rPr>
            <w:rStyle w:val="Czeindeksu"/>
            <w:rFonts w:cs="" w:ascii="Calibri" w:hAnsi="Calibri" w:asciiTheme="minorHAnsi" w:cstheme="minorBidi" w:hAnsiTheme="minorHAnsi"/>
            <w:lang w:eastAsia="pl-PL"/>
          </w:rPr>
          <w:tab/>
        </w:r>
        <w:r>
          <w:rPr>
            <w:webHidden/>
          </w:rPr>
          <w:fldChar w:fldCharType="begin"/>
        </w:r>
        <w:r>
          <w:rPr>
            <w:webHidden/>
          </w:rPr>
          <w:instrText>PAGEREF _Toc496698276 \h</w:instrText>
        </w:r>
        <w:r>
          <w:rPr>
            <w:webHidden/>
          </w:rPr>
          <w:fldChar w:fldCharType="separate"/>
        </w:r>
        <w:r>
          <w:rPr>
            <w:rStyle w:val="Czeindeksu"/>
          </w:rPr>
          <w:t>Kryteria oceny oferty - Wybór najkorzystniejszej oferty</w:t>
          <w:tab/>
          <w:t>18</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77">
        <w:r>
          <w:rPr>
            <w:webHidden/>
          </w:rPr>
          <w:fldChar w:fldCharType="begin"/>
        </w:r>
        <w:r>
          <w:rPr>
            <w:webHidden/>
          </w:rPr>
          <w:instrText>PAGEREF _Toc496698277 \h</w:instrText>
        </w:r>
        <w:r>
          <w:rPr>
            <w:webHidden/>
          </w:rPr>
          <w:fldChar w:fldCharType="separate"/>
        </w:r>
        <w:r>
          <w:rPr>
            <w:webHidden/>
            <w:rStyle w:val="Czeindeksu"/>
            <w:vanish w:val="false"/>
          </w:rPr>
          <w:t>XIV.Informacje o formalnościach, jakie winny być dopełnione po wyborze oferty w celu zawarcia umowy w sprawie zamówienia</w:t>
          <w:tab/>
          <w:t>19</w:t>
        </w:r>
        <w:r>
          <w:rPr>
            <w:webHidden/>
          </w:rPr>
          <w:fldChar w:fldCharType="end"/>
        </w:r>
      </w:hyperlink>
    </w:p>
    <w:p>
      <w:pPr>
        <w:pStyle w:val="Spistreci1"/>
        <w:rPr>
          <w:rFonts w:ascii="Calibri" w:hAnsi="Calibri" w:cs="" w:asciiTheme="minorHAnsi" w:cstheme="minorBidi" w:hAnsiTheme="minorHAnsi"/>
          <w:lang w:eastAsia="pl-PL"/>
        </w:rPr>
      </w:pPr>
      <w:hyperlink w:anchor="_Toc496698278">
        <w:r>
          <w:rPr>
            <w:webHidden/>
          </w:rPr>
          <w:fldChar w:fldCharType="begin"/>
        </w:r>
        <w:r>
          <w:rPr>
            <w:webHidden/>
          </w:rPr>
          <w:instrText>PAGEREF _Toc496698278 \h</w:instrText>
        </w:r>
        <w:r>
          <w:rPr>
            <w:webHidden/>
          </w:rPr>
          <w:fldChar w:fldCharType="separate"/>
        </w:r>
        <w:r>
          <w:rPr>
            <w:webHidden/>
            <w:rStyle w:val="Czeindeksu"/>
            <w:vanish w:val="false"/>
          </w:rPr>
          <w:t>XV.Zabezpieczenie należytego wykonania umowy</w:t>
          <w:tab/>
          <w:t>20</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79">
        <w:r>
          <w:rPr>
            <w:webHidden/>
          </w:rPr>
          <w:fldChar w:fldCharType="begin"/>
        </w:r>
        <w:r>
          <w:rPr>
            <w:webHidden/>
          </w:rPr>
          <w:instrText>PAGEREF _Toc496698279 \h</w:instrText>
        </w:r>
        <w:r>
          <w:rPr>
            <w:webHidden/>
          </w:rPr>
          <w:fldChar w:fldCharType="separate"/>
        </w:r>
        <w:r>
          <w:rPr>
            <w:webHidden/>
            <w:rStyle w:val="Czeindeksu"/>
            <w:vanish w:val="false"/>
          </w:rPr>
          <w:t>XVI.Istotne dla stron postanowienia, które zostaną wprowadzone do treści zawieranej umowy  w sprawie zamówienia publicznego, ogólne warunki umowy albo wzór umowy</w:t>
          <w:tab/>
          <w:t>20</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0">
        <w:r>
          <w:rPr>
            <w:webHidden/>
          </w:rPr>
          <w:fldChar w:fldCharType="begin"/>
        </w:r>
        <w:r>
          <w:rPr>
            <w:webHidden/>
          </w:rPr>
          <w:instrText>PAGEREF _Toc496698280 \h</w:instrText>
        </w:r>
        <w:r>
          <w:rPr>
            <w:webHidden/>
          </w:rPr>
          <w:fldChar w:fldCharType="separate"/>
        </w:r>
        <w:r>
          <w:rPr>
            <w:webHidden/>
            <w:rStyle w:val="Czeindeksu"/>
            <w:vanish w:val="false"/>
          </w:rPr>
          <w:t>XVII.Pouczenie o środkach ochrony prawnej przysługujących Wykonawcy w toku postępowania o udzielenie zamówienia</w:t>
          <w:tab/>
          <w:t>21</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1">
        <w:r>
          <w:rPr>
            <w:webHidden/>
          </w:rPr>
          <w:fldChar w:fldCharType="begin"/>
        </w:r>
        <w:r>
          <w:rPr>
            <w:webHidden/>
          </w:rPr>
          <w:instrText>PAGEREF _Toc496698281 \h</w:instrText>
        </w:r>
        <w:r>
          <w:rPr>
            <w:webHidden/>
          </w:rPr>
          <w:fldChar w:fldCharType="separate"/>
        </w:r>
        <w:r>
          <w:rPr>
            <w:webHidden/>
            <w:rStyle w:val="Czeindeksu"/>
            <w:vanish w:val="false"/>
          </w:rPr>
          <w:t>XVIII.Opis części zamówienia</w:t>
          <w:tab/>
          <w:t>21</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2">
        <w:r>
          <w:rPr>
            <w:webHidden/>
          </w:rPr>
          <w:fldChar w:fldCharType="begin"/>
        </w:r>
        <w:r>
          <w:rPr>
            <w:webHidden/>
          </w:rPr>
          <w:instrText>PAGEREF _Toc496698282 \h</w:instrText>
        </w:r>
        <w:r>
          <w:rPr>
            <w:webHidden/>
          </w:rPr>
          <w:fldChar w:fldCharType="separate"/>
        </w:r>
        <w:r>
          <w:rPr>
            <w:webHidden/>
            <w:rStyle w:val="Czeindeksu"/>
            <w:vanish w:val="false"/>
          </w:rPr>
          <w:t>XIX.Umowa ramowa, zamówienia, o których mowa w art. 67 ust. 1 pkt. 7 ustawy,  oferty wariantowe</w:t>
          <w:tab/>
          <w:t>21</w:t>
        </w:r>
        <w:r>
          <w:rPr>
            <w:webHidden/>
          </w:rPr>
          <w:fldChar w:fldCharType="end"/>
        </w:r>
      </w:hyperlink>
    </w:p>
    <w:p>
      <w:pPr>
        <w:pStyle w:val="Spistreci1"/>
        <w:rPr>
          <w:rFonts w:ascii="Calibri" w:hAnsi="Calibri" w:cs="" w:asciiTheme="minorHAnsi" w:cstheme="minorBidi" w:hAnsiTheme="minorHAnsi"/>
          <w:lang w:eastAsia="pl-PL"/>
        </w:rPr>
      </w:pPr>
      <w:hyperlink w:anchor="_Toc496698283">
        <w:r>
          <w:rPr>
            <w:webHidden/>
            <w:rStyle w:val="Czeindeksu"/>
            <w:vanish w:val="false"/>
          </w:rPr>
          <w:t>XX.</w:t>
        </w:r>
        <w:r>
          <w:rPr>
            <w:rStyle w:val="Czeindeksu"/>
            <w:rFonts w:cs="" w:ascii="Calibri" w:hAnsi="Calibri" w:asciiTheme="minorHAnsi" w:cstheme="minorBidi" w:hAnsiTheme="minorHAnsi"/>
            <w:lang w:eastAsia="pl-PL"/>
          </w:rPr>
          <w:tab/>
        </w:r>
        <w:r>
          <w:rPr>
            <w:webHidden/>
          </w:rPr>
          <w:fldChar w:fldCharType="begin"/>
        </w:r>
        <w:r>
          <w:rPr>
            <w:webHidden/>
          </w:rPr>
          <w:instrText>PAGEREF _Toc496698283 \h</w:instrText>
        </w:r>
        <w:r>
          <w:rPr>
            <w:webHidden/>
          </w:rPr>
          <w:fldChar w:fldCharType="separate"/>
        </w:r>
        <w:r>
          <w:rPr>
            <w:rStyle w:val="Czeindeksu"/>
          </w:rPr>
          <w:t>Aukcja elektroniczna</w:t>
          <w:tab/>
          <w:t>21</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4">
        <w:r>
          <w:rPr>
            <w:webHidden/>
          </w:rPr>
          <w:fldChar w:fldCharType="begin"/>
        </w:r>
        <w:r>
          <w:rPr>
            <w:webHidden/>
          </w:rPr>
          <w:instrText>PAGEREF _Toc496698284 \h</w:instrText>
        </w:r>
        <w:r>
          <w:rPr>
            <w:webHidden/>
          </w:rPr>
          <w:fldChar w:fldCharType="separate"/>
        </w:r>
        <w:r>
          <w:rPr>
            <w:webHidden/>
            <w:rStyle w:val="Czeindeksu"/>
            <w:vanish w:val="false"/>
          </w:rPr>
          <w:t>XXI.Informacje dotyczące rozliczeń z zamawiającym</w:t>
          <w:tab/>
          <w:t>21</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5">
        <w:r>
          <w:rPr>
            <w:webHidden/>
          </w:rPr>
          <w:fldChar w:fldCharType="begin"/>
        </w:r>
        <w:r>
          <w:rPr>
            <w:webHidden/>
          </w:rPr>
          <w:instrText>PAGEREF _Toc496698285 \h</w:instrText>
        </w:r>
        <w:r>
          <w:rPr>
            <w:webHidden/>
          </w:rPr>
          <w:fldChar w:fldCharType="separate"/>
        </w:r>
        <w:r>
          <w:rPr>
            <w:webHidden/>
            <w:rStyle w:val="Czeindeksu"/>
            <w:vanish w:val="false"/>
          </w:rPr>
          <w:t>XXII.Koszty udziału w postępowaniu o zamówienie publiczne</w:t>
          <w:tab/>
          <w:t>21</w:t>
        </w:r>
        <w:r>
          <w:rPr>
            <w:webHidden/>
          </w:rPr>
          <w:fldChar w:fldCharType="end"/>
        </w:r>
      </w:hyperlink>
    </w:p>
    <w:p>
      <w:pPr>
        <w:pStyle w:val="Spistreci1"/>
        <w:tabs>
          <w:tab w:val="left" w:pos="440" w:leader="none"/>
          <w:tab w:val="left" w:pos="880" w:leader="none"/>
          <w:tab w:val="right" w:pos="10456" w:leader="dot"/>
        </w:tabs>
        <w:rPr>
          <w:rFonts w:ascii="Calibri" w:hAnsi="Calibri" w:cs="" w:asciiTheme="minorHAnsi" w:cstheme="minorBidi" w:hAnsiTheme="minorHAnsi"/>
          <w:lang w:eastAsia="pl-PL"/>
        </w:rPr>
      </w:pPr>
      <w:hyperlink w:anchor="_Toc496698286">
        <w:r>
          <w:rPr>
            <w:webHidden/>
            <w:rStyle w:val="Czeindeksu"/>
            <w:vanish w:val="false"/>
          </w:rPr>
          <w:t>XXIII.</w:t>
        </w:r>
        <w:r>
          <w:rPr>
            <w:rStyle w:val="Czeindeksu"/>
            <w:bCs/>
          </w:rPr>
          <w:t>Postanowienia końcowe - z</w:t>
        </w:r>
        <w:r>
          <w:rPr>
            <w:webHidden/>
          </w:rPr>
          <w:fldChar w:fldCharType="begin"/>
        </w:r>
        <w:r>
          <w:rPr>
            <w:webHidden/>
          </w:rPr>
          <w:instrText>PAGEREF _Toc496698286 \h</w:instrText>
        </w:r>
        <w:r>
          <w:rPr>
            <w:webHidden/>
          </w:rPr>
          <w:fldChar w:fldCharType="separate"/>
        </w:r>
        <w:r>
          <w:rPr>
            <w:rStyle w:val="Czeindeksu"/>
          </w:rPr>
          <w:t>asady udostępniania dokumentów</w:t>
          <w:tab/>
          <w:t>22</w:t>
        </w:r>
        <w:r>
          <w:rPr>
            <w:webHidden/>
          </w:rPr>
          <w:fldChar w:fldCharType="end"/>
        </w:r>
      </w:hyperlink>
    </w:p>
    <w:p>
      <w:pPr>
        <w:pStyle w:val="Normal"/>
        <w:spacing w:lineRule="auto" w:line="360"/>
        <w:ind w:left="0" w:hanging="0"/>
        <w:rPr>
          <w:sz w:val="18"/>
          <w:szCs w:val="20"/>
        </w:rPr>
      </w:pPr>
      <w:r>
        <w:rPr>
          <w:sz w:val="18"/>
          <w:szCs w:val="20"/>
        </w:rPr>
      </w:r>
      <w:r>
        <w:rPr>
          <w:sz w:val="18"/>
          <w:szCs w:val="20"/>
        </w:rPr>
        <w:fldChar w:fldCharType="end"/>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Normal"/>
        <w:ind w:left="0" w:hanging="0"/>
        <w:rPr>
          <w:sz w:val="18"/>
          <w:szCs w:val="20"/>
        </w:rPr>
      </w:pPr>
      <w:r>
        <w:rPr>
          <w:sz w:val="18"/>
          <w:szCs w:val="20"/>
        </w:rPr>
      </w:r>
    </w:p>
    <w:p>
      <w:pPr>
        <w:pStyle w:val="Artyku"/>
        <w:numPr>
          <w:ilvl w:val="0"/>
          <w:numId w:val="1"/>
        </w:numPr>
        <w:rPr/>
      </w:pPr>
      <w:bookmarkStart w:id="1" w:name="_Toc496698263"/>
      <w:r>
        <w:rPr/>
        <w:t>Nazwa i adres zamawiającego</w:t>
      </w:r>
      <w:bookmarkEnd w:id="1"/>
    </w:p>
    <w:p>
      <w:pPr>
        <w:pStyle w:val="Normal"/>
        <w:rPr>
          <w:b/>
          <w:b/>
        </w:rPr>
      </w:pPr>
      <w:r>
        <w:rPr>
          <w:b/>
        </w:rPr>
      </w:r>
    </w:p>
    <w:p>
      <w:pPr>
        <w:pStyle w:val="Normal"/>
        <w:spacing w:lineRule="auto" w:line="276"/>
        <w:ind w:left="0" w:hanging="0"/>
        <w:rPr>
          <w:rFonts w:eastAsia="Calibri"/>
          <w:bCs/>
          <w:szCs w:val="18"/>
        </w:rPr>
      </w:pPr>
      <w:r>
        <w:rPr>
          <w:rFonts w:eastAsia="Calibri"/>
          <w:bCs/>
          <w:szCs w:val="18"/>
        </w:rPr>
        <w:t xml:space="preserve">Gmina Miłosław </w:t>
      </w:r>
      <w:r>
        <w:rPr>
          <w:rFonts w:eastAsia="Calibri"/>
          <w:szCs w:val="18"/>
        </w:rPr>
        <w:t xml:space="preserve">z siedzibą w Miłosławiu </w:t>
        <w:br/>
      </w:r>
      <w:r>
        <w:rPr>
          <w:rFonts w:eastAsia="Calibri"/>
          <w:bCs/>
          <w:szCs w:val="18"/>
        </w:rPr>
        <w:t xml:space="preserve">ul. Wrzesińska 19, 62-320 Miłosław  </w:t>
        <w:br/>
      </w:r>
      <w:r>
        <w:rPr>
          <w:rFonts w:eastAsia="Calibri"/>
          <w:szCs w:val="18"/>
        </w:rPr>
        <w:t>reprezentowana przez Zbigniewa Skikiewicza</w:t>
      </w:r>
      <w:r>
        <w:rPr>
          <w:rFonts w:eastAsia="Calibri"/>
          <w:bCs/>
          <w:szCs w:val="18"/>
        </w:rPr>
        <w:t xml:space="preserve"> – Burmistrza Gminy Miłosław</w:t>
      </w:r>
    </w:p>
    <w:p>
      <w:pPr>
        <w:pStyle w:val="Normal"/>
        <w:spacing w:lineRule="auto" w:line="276"/>
        <w:ind w:left="0" w:hanging="0"/>
        <w:rPr>
          <w:lang w:val="en-US"/>
        </w:rPr>
      </w:pPr>
      <w:r>
        <w:rPr>
          <w:lang w:val="en-US"/>
        </w:rPr>
        <w:t>tel. 61 438 20 21, 61 438 20 22</w:t>
      </w:r>
    </w:p>
    <w:p>
      <w:pPr>
        <w:pStyle w:val="Normal"/>
        <w:spacing w:lineRule="auto" w:line="276"/>
        <w:ind w:left="0" w:hanging="0"/>
        <w:rPr>
          <w:lang w:val="en-US"/>
        </w:rPr>
      </w:pPr>
      <w:r>
        <w:rPr>
          <w:lang w:val="en-US"/>
        </w:rPr>
        <w:t>fax. 61 438 30 51</w:t>
      </w:r>
    </w:p>
    <w:p>
      <w:pPr>
        <w:pStyle w:val="Normal"/>
        <w:spacing w:lineRule="auto" w:line="276"/>
        <w:ind w:left="0" w:hanging="0"/>
        <w:rPr>
          <w:lang w:val="en-US"/>
        </w:rPr>
      </w:pPr>
      <w:r>
        <w:rPr>
          <w:lang w:val="en-US"/>
        </w:rPr>
        <w:t>e-mail: sekretariat@miloslaw.info.pl</w:t>
      </w:r>
    </w:p>
    <w:p>
      <w:pPr>
        <w:pStyle w:val="Normal"/>
        <w:spacing w:lineRule="auto" w:line="276"/>
        <w:ind w:left="0" w:hanging="0"/>
        <w:rPr/>
      </w:pPr>
      <w:r>
        <w:rPr>
          <w:color w:val="000000"/>
          <w:szCs w:val="20"/>
        </w:rPr>
        <w:t xml:space="preserve">strona internetowa Urzędu Gminy Miłosław: </w:t>
      </w:r>
      <w:hyperlink r:id="rId3">
        <w:r>
          <w:rPr>
            <w:rStyle w:val="Czeinternetowe"/>
            <w:color w:val="auto"/>
            <w:szCs w:val="20"/>
            <w:u w:val="none"/>
          </w:rPr>
          <w:t>http://www.miloslaw.bip.net.pl/</w:t>
        </w:r>
      </w:hyperlink>
    </w:p>
    <w:p>
      <w:pPr>
        <w:pStyle w:val="Normal"/>
        <w:spacing w:lineRule="auto" w:line="276"/>
        <w:ind w:left="0" w:hanging="0"/>
        <w:rPr/>
      </w:pPr>
      <w:r>
        <w:rPr/>
      </w:r>
    </w:p>
    <w:p>
      <w:pPr>
        <w:pStyle w:val="Artyku"/>
        <w:numPr>
          <w:ilvl w:val="0"/>
          <w:numId w:val="1"/>
        </w:numPr>
        <w:rPr/>
      </w:pPr>
      <w:bookmarkStart w:id="2" w:name="_Toc496698264"/>
      <w:r>
        <w:rPr/>
        <w:t>Tryb udzielenia zamówienia</w:t>
      </w:r>
      <w:bookmarkEnd w:id="2"/>
    </w:p>
    <w:p>
      <w:pPr>
        <w:pStyle w:val="Normal"/>
        <w:rPr>
          <w:b/>
          <w:b/>
        </w:rPr>
      </w:pPr>
      <w:r>
        <w:rPr>
          <w:b/>
        </w:rPr>
      </w:r>
    </w:p>
    <w:p>
      <w:pPr>
        <w:pStyle w:val="Normal"/>
        <w:spacing w:lineRule="auto" w:line="276"/>
        <w:ind w:left="0" w:hanging="0"/>
        <w:jc w:val="both"/>
        <w:rPr>
          <w:rFonts w:eastAsia="Calibri"/>
          <w:color w:val="FF0000"/>
          <w:szCs w:val="18"/>
        </w:rPr>
      </w:pPr>
      <w:r>
        <w:rPr>
          <w:rFonts w:eastAsia="Calibri"/>
          <w:szCs w:val="18"/>
        </w:rPr>
        <w:t xml:space="preserve">Postępowanie o udzielenie zamówienia publicznego prowadzone jest w trybie przetargu nieograniczonego </w:t>
        <w:br/>
        <w:t>o wartości nieprzekraczającej równowartości 5.548.000 euro (dla robót budowlanych). Podstawa prawna udzielenia zamówienia publicznego: art. 10 ust. 1 oraz art. 39 - 46 ustawy z dnia 29 stycznia 2004 r. – Prawo zamówień publicznych (tj. Dz. U. z 2017 r., poz. 1579 ze zm.) zwana dalej ustawą Pzp wraz z aktami wykonawczymi do ustawy. W zakresie nieuregulowanym niniejszą Specyfikacją Istotnych Warunków Zamówienia, zwaną dalej: „SIWZ”, zastosowanie mają przepisy ustawy Pzp.</w:t>
      </w:r>
    </w:p>
    <w:p>
      <w:pPr>
        <w:pStyle w:val="Normal"/>
        <w:ind w:left="0" w:hanging="0"/>
        <w:jc w:val="both"/>
        <w:rPr>
          <w:rFonts w:eastAsia="Calibri"/>
          <w:b/>
          <w:b/>
          <w:szCs w:val="18"/>
        </w:rPr>
      </w:pPr>
      <w:r>
        <w:rPr>
          <w:rFonts w:eastAsia="Calibri"/>
          <w:b/>
          <w:szCs w:val="18"/>
        </w:rPr>
      </w:r>
    </w:p>
    <w:p>
      <w:pPr>
        <w:pStyle w:val="Artyku"/>
        <w:numPr>
          <w:ilvl w:val="0"/>
          <w:numId w:val="1"/>
        </w:numPr>
        <w:rPr/>
      </w:pPr>
      <w:bookmarkStart w:id="3" w:name="_Toc496698265"/>
      <w:r>
        <w:rPr/>
        <w:t>Opis przedmiotu zamówienia</w:t>
      </w:r>
      <w:bookmarkEnd w:id="3"/>
    </w:p>
    <w:p>
      <w:pPr>
        <w:pStyle w:val="Normal"/>
        <w:widowControl w:val="false"/>
        <w:suppressAutoHyphens w:val="true"/>
        <w:overflowPunct w:val="true"/>
        <w:ind w:left="0" w:hanging="0"/>
        <w:jc w:val="both"/>
        <w:textAlignment w:val="baseline"/>
        <w:rPr>
          <w:rFonts w:eastAsia="Arial Narrow"/>
          <w:kern w:val="2"/>
          <w:sz w:val="18"/>
          <w:szCs w:val="18"/>
          <w:lang w:eastAsia="pl-PL"/>
        </w:rPr>
      </w:pPr>
      <w:r>
        <w:rPr>
          <w:rFonts w:eastAsia="Arial Narrow"/>
          <w:kern w:val="2"/>
          <w:sz w:val="18"/>
          <w:szCs w:val="18"/>
          <w:lang w:eastAsia="pl-PL"/>
        </w:rPr>
      </w:r>
    </w:p>
    <w:p>
      <w:pPr>
        <w:pStyle w:val="Normal"/>
        <w:widowControl w:val="false"/>
        <w:suppressAutoHyphens w:val="true"/>
        <w:overflowPunct w:val="true"/>
        <w:spacing w:lineRule="auto" w:line="276"/>
        <w:ind w:left="0" w:hanging="0"/>
        <w:jc w:val="both"/>
        <w:textAlignment w:val="baseline"/>
        <w:rPr>
          <w:rFonts w:eastAsia="Arial Narrow"/>
          <w:kern w:val="2"/>
          <w:szCs w:val="18"/>
          <w:lang w:eastAsia="pl-PL"/>
        </w:rPr>
      </w:pPr>
      <w:r>
        <w:rPr>
          <w:rFonts w:eastAsia="Arial Narrow"/>
          <w:kern w:val="2"/>
          <w:szCs w:val="18"/>
          <w:lang w:eastAsia="pl-PL"/>
        </w:rPr>
        <w:t>Rodzaj zamówienia: Roboty budowlane</w:t>
      </w:r>
    </w:p>
    <w:p>
      <w:pPr>
        <w:pStyle w:val="Normal"/>
        <w:jc w:val="both"/>
        <w:rPr>
          <w:rFonts w:eastAsia="Arial Narrow"/>
          <w:i/>
          <w:i/>
          <w:kern w:val="2"/>
          <w:szCs w:val="18"/>
          <w:lang w:eastAsia="pl-PL"/>
        </w:rPr>
      </w:pPr>
      <w:r>
        <w:rPr>
          <w:rFonts w:eastAsia="Arial Narrow"/>
          <w:i/>
          <w:kern w:val="2"/>
          <w:szCs w:val="18"/>
          <w:lang w:eastAsia="pl-PL"/>
        </w:rPr>
      </w:r>
    </w:p>
    <w:p>
      <w:pPr>
        <w:pStyle w:val="ListParagraph"/>
        <w:numPr>
          <w:ilvl w:val="0"/>
          <w:numId w:val="3"/>
        </w:numPr>
        <w:spacing w:lineRule="auto" w:line="276"/>
        <w:jc w:val="both"/>
        <w:rPr/>
      </w:pPr>
      <w:r>
        <w:rPr/>
        <w:t xml:space="preserve">Przedmiotem zamówienia jest: </w:t>
      </w:r>
      <w:r>
        <w:rPr>
          <w:b/>
          <w:color w:val="000000"/>
        </w:rPr>
        <w:t>Termomodernizacja budynku Urzędu Gminy w Miłosławiu</w:t>
      </w:r>
      <w:r>
        <w:rPr>
          <w:color w:val="000000"/>
        </w:rPr>
        <w:t>.</w:t>
      </w:r>
    </w:p>
    <w:p>
      <w:pPr>
        <w:pStyle w:val="Normal"/>
        <w:spacing w:lineRule="auto" w:line="276"/>
        <w:jc w:val="both"/>
        <w:rPr>
          <w:color w:val="000000"/>
        </w:rPr>
      </w:pPr>
      <w:r>
        <w:rPr>
          <w:color w:val="000000"/>
        </w:rPr>
        <w:t>Roboty budowlane obejmują:</w:t>
      </w:r>
    </w:p>
    <w:p>
      <w:pPr>
        <w:pStyle w:val="ListParagraph"/>
        <w:numPr>
          <w:ilvl w:val="0"/>
          <w:numId w:val="2"/>
        </w:numPr>
        <w:jc w:val="both"/>
        <w:rPr>
          <w:color w:val="000000"/>
        </w:rPr>
      </w:pPr>
      <w:r>
        <w:rPr>
          <w:color w:val="000000"/>
        </w:rPr>
        <w:t>roboty dekarsko-blacharskie wraz z wykonaniem podbitki na okapach i malowanie okapów istniejących</w:t>
      </w:r>
    </w:p>
    <w:p>
      <w:pPr>
        <w:pStyle w:val="ListParagraph"/>
        <w:numPr>
          <w:ilvl w:val="0"/>
          <w:numId w:val="2"/>
        </w:numPr>
        <w:jc w:val="both"/>
        <w:rPr>
          <w:color w:val="000000"/>
        </w:rPr>
      </w:pPr>
      <w:r>
        <w:rPr>
          <w:color w:val="000000"/>
        </w:rPr>
        <w:t xml:space="preserve">wymiana stolarki drzwiowej zewnętrznej w budynku głównym </w:t>
      </w:r>
    </w:p>
    <w:p>
      <w:pPr>
        <w:pStyle w:val="ListParagraph"/>
        <w:numPr>
          <w:ilvl w:val="0"/>
          <w:numId w:val="2"/>
        </w:numPr>
        <w:jc w:val="both"/>
        <w:rPr>
          <w:color w:val="000000"/>
        </w:rPr>
      </w:pPr>
      <w:r>
        <w:rPr>
          <w:color w:val="000000"/>
        </w:rPr>
        <w:t>ocieplenie ścian zewnętrznych wraz z wymianą parapetów na budynku głównym</w:t>
      </w:r>
    </w:p>
    <w:p>
      <w:pPr>
        <w:pStyle w:val="ListParagraph"/>
        <w:numPr>
          <w:ilvl w:val="0"/>
          <w:numId w:val="2"/>
        </w:numPr>
        <w:spacing w:lineRule="auto" w:line="276"/>
        <w:jc w:val="both"/>
        <w:rPr>
          <w:color w:val="000000"/>
        </w:rPr>
      </w:pPr>
      <w:r>
        <w:rPr>
          <w:color w:val="000000"/>
        </w:rPr>
        <w:t>wykonanie opaski wokół budynku;</w:t>
      </w:r>
    </w:p>
    <w:p>
      <w:pPr>
        <w:pStyle w:val="ListParagraph"/>
        <w:numPr>
          <w:ilvl w:val="0"/>
          <w:numId w:val="2"/>
        </w:numPr>
        <w:spacing w:lineRule="auto" w:line="276"/>
        <w:jc w:val="both"/>
        <w:rPr>
          <w:color w:val="000000"/>
        </w:rPr>
      </w:pPr>
      <w:r>
        <w:rPr>
          <w:color w:val="000000"/>
        </w:rPr>
        <w:t>malowanie elewacji</w:t>
      </w:r>
    </w:p>
    <w:p>
      <w:pPr>
        <w:pStyle w:val="ListParagraph"/>
        <w:spacing w:lineRule="auto" w:line="276"/>
        <w:ind w:left="584" w:hanging="0"/>
        <w:jc w:val="both"/>
        <w:rPr>
          <w:b/>
          <w:b/>
          <w:color w:val="000000"/>
          <w:u w:val="single"/>
        </w:rPr>
      </w:pPr>
      <w:r>
        <w:rPr>
          <w:b/>
          <w:color w:val="000000"/>
          <w:u w:val="single"/>
        </w:rPr>
        <w:t>Uwaga : postępowanie przetargowe obejmuje swym zakresem wszystkie budynki stanowiące Urząd Gminy czyli budynek USC , łącznik oraz nowy urząd .</w:t>
      </w:r>
    </w:p>
    <w:p>
      <w:pPr>
        <w:pStyle w:val="ListParagraph"/>
        <w:numPr>
          <w:ilvl w:val="0"/>
          <w:numId w:val="3"/>
        </w:numPr>
        <w:spacing w:lineRule="auto" w:line="276"/>
        <w:jc w:val="both"/>
        <w:rPr/>
      </w:pPr>
      <w:r>
        <w:rPr>
          <w:szCs w:val="18"/>
        </w:rPr>
        <w:t xml:space="preserve">Szczegółowy opis przedmiotu zamówienia zawiera dokumentacja załączona </w:t>
      </w:r>
      <w:bookmarkStart w:id="4" w:name="_GoBack"/>
      <w:bookmarkEnd w:id="4"/>
      <w:r>
        <w:rPr>
          <w:szCs w:val="18"/>
        </w:rPr>
        <w:t xml:space="preserve">do SIWZ, </w:t>
        <w:br/>
        <w:t>a w szczególności:</w:t>
      </w:r>
    </w:p>
    <w:p>
      <w:pPr>
        <w:pStyle w:val="Normal"/>
        <w:spacing w:lineRule="auto" w:line="276" w:before="0" w:after="120"/>
        <w:ind w:left="0" w:firstLine="357"/>
        <w:jc w:val="both"/>
        <w:rPr>
          <w:szCs w:val="18"/>
        </w:rPr>
      </w:pPr>
      <w:r>
        <w:rPr>
          <w:szCs w:val="18"/>
        </w:rPr>
        <w:t>1) specyfikacja techniczna wykonania i odbioru robót;</w:t>
      </w:r>
    </w:p>
    <w:p>
      <w:pPr>
        <w:pStyle w:val="Normal"/>
        <w:spacing w:lineRule="auto" w:line="276" w:before="0" w:after="120"/>
        <w:ind w:left="0" w:firstLine="357"/>
        <w:jc w:val="both"/>
        <w:rPr/>
      </w:pPr>
      <w:r>
        <w:rPr>
          <w:szCs w:val="18"/>
        </w:rPr>
        <w:t>2) przedmiar robót;</w:t>
      </w:r>
    </w:p>
    <w:p>
      <w:pPr>
        <w:pStyle w:val="ListParagraph"/>
        <w:numPr>
          <w:ilvl w:val="0"/>
          <w:numId w:val="3"/>
        </w:numPr>
        <w:spacing w:lineRule="auto" w:line="276"/>
        <w:jc w:val="both"/>
        <w:rPr/>
      </w:pPr>
      <w:r>
        <w:rPr>
          <w:szCs w:val="18"/>
        </w:rPr>
        <w:t>Wykonawca wykona przedmiot zamówienia zgodnie z obowiązującymi przepisami, w tym</w:t>
        <w:br/>
        <w:t xml:space="preserve">w szczególności zgodnie z ustawą Prawo  budowlane (Dz. U. 2013, poz. 1409 ze zm.). Wskazane przez Zamawiającego </w:t>
      </w:r>
      <w:r>
        <w:rPr>
          <w:b/>
          <w:bCs/>
          <w:i/>
          <w:iCs/>
          <w:szCs w:val="18"/>
        </w:rPr>
        <w:t xml:space="preserve">nazwy własne producentów </w:t>
      </w:r>
      <w:r>
        <w:rPr>
          <w:szCs w:val="18"/>
        </w:rPr>
        <w:t xml:space="preserve">nie są wiążące dla Wykonawcy i należy je traktować jako przykładowe do określenia parametrów i wymogów technicznych. Przyjęte w dokumentacji rodzaje materiałów i urządzeń  zostały użyte  przykładowo, w celu opisania przedmiotu zamówienia. Wykonawca zobowiązany jest do przedstawienia w ofercie materiałów i urządzeń </w:t>
      </w:r>
      <w:r>
        <w:rPr>
          <w:b/>
          <w:i/>
          <w:szCs w:val="18"/>
        </w:rPr>
        <w:t>równoważnych</w:t>
      </w:r>
      <w:r>
        <w:rPr>
          <w:szCs w:val="18"/>
        </w:rPr>
        <w:t xml:space="preserve">, </w:t>
        <w:br/>
        <w:t xml:space="preserve">o nie gorszych parametrach. </w:t>
      </w:r>
    </w:p>
    <w:p>
      <w:pPr>
        <w:pStyle w:val="Normal"/>
        <w:ind w:left="0" w:hanging="0"/>
        <w:jc w:val="both"/>
        <w:rPr>
          <w:szCs w:val="18"/>
        </w:rPr>
      </w:pPr>
      <w:r>
        <w:rPr>
          <w:szCs w:val="18"/>
        </w:rPr>
      </w:r>
    </w:p>
    <w:p>
      <w:pPr>
        <w:pStyle w:val="ListParagraph"/>
        <w:numPr>
          <w:ilvl w:val="0"/>
          <w:numId w:val="3"/>
        </w:numPr>
        <w:spacing w:lineRule="auto" w:line="276" w:before="0" w:after="120"/>
        <w:ind w:left="499" w:hanging="357"/>
        <w:contextualSpacing/>
        <w:jc w:val="both"/>
        <w:rPr/>
      </w:pPr>
      <w:r>
        <w:rPr/>
        <w:t xml:space="preserve">Wykonawca zobowiązany jest do wykonywania robót budowlanych zgodnie ze sztuką budowlaną, obowiązującymi przepisami i normami oraz przy zachowaniu przepisów BHP, przy maksymalnym ograniczaniu uciążliwości prowadzenia robót prowadzonych u Zamawiającego. Wykonawca gwarantuje także wykonanie przedmiotu zamówienia pod kierownictwem osób posiadających wymagane przygotowanie zawodowe do pełnienia samodzielnych funkcji technicznych </w:t>
        <w:br/>
        <w:t xml:space="preserve">w budownictwie. </w:t>
      </w:r>
    </w:p>
    <w:p>
      <w:pPr>
        <w:pStyle w:val="ListParagraph"/>
        <w:numPr>
          <w:ilvl w:val="0"/>
          <w:numId w:val="3"/>
        </w:numPr>
        <w:spacing w:lineRule="auto" w:line="276" w:before="0" w:after="120"/>
        <w:ind w:left="499" w:hanging="357"/>
        <w:contextualSpacing/>
        <w:jc w:val="both"/>
        <w:rPr/>
      </w:pPr>
      <w:r>
        <w:rPr/>
        <w:t>Wykonawca zapewnia materiały i urządzenia niezbędne do wykonania przedmiotu umowy posiadające aktualne atesty, certyfikaty pozwalające na ich stosowanie. Transport materiałów na plac budowy oraz dostarczenie i eksploatacja maszyn i urządzeń obciążają Wykonawcę.</w:t>
      </w:r>
    </w:p>
    <w:p>
      <w:pPr>
        <w:pStyle w:val="ListParagraph"/>
        <w:numPr>
          <w:ilvl w:val="0"/>
          <w:numId w:val="3"/>
        </w:numPr>
        <w:spacing w:lineRule="auto" w:line="276"/>
        <w:jc w:val="both"/>
        <w:rPr/>
      </w:pPr>
      <w:r>
        <w:rPr/>
        <w:t xml:space="preserve">Wykonawca zabezpiecza teren robót mając w szczególności na względzie mienie Zamawiającego </w:t>
        <w:br/>
        <w:t xml:space="preserve">i własne, w szczególności Wykonawca zobowiązany jest na własny koszt zabezpieczyć zdemontowane urządzenia, sprzęt oraz materiały. </w:t>
      </w:r>
    </w:p>
    <w:p>
      <w:pPr>
        <w:pStyle w:val="ListParagraph"/>
        <w:numPr>
          <w:ilvl w:val="0"/>
          <w:numId w:val="3"/>
        </w:numPr>
        <w:spacing w:lineRule="auto" w:line="276"/>
        <w:jc w:val="both"/>
        <w:rPr/>
      </w:pPr>
      <w:r>
        <w:rPr/>
        <w:t xml:space="preserve">Wykonawca w trakcie wykonywania robót ponosi odpowiedzialność za bezpieczeństwo swoich pracowników oraz innych osób znajdujących się w obrębie przekazanego placu budowy z tytułu prowadzonych robót. </w:t>
      </w:r>
    </w:p>
    <w:p>
      <w:pPr>
        <w:pStyle w:val="ListParagraph"/>
        <w:numPr>
          <w:ilvl w:val="0"/>
          <w:numId w:val="3"/>
        </w:numPr>
        <w:spacing w:lineRule="auto" w:line="276"/>
        <w:jc w:val="both"/>
        <w:rPr/>
      </w:pPr>
      <w:r>
        <w:rPr>
          <w:szCs w:val="24"/>
        </w:rPr>
        <w:t>Wykonanie zamówienia obejmuje w szczególności:</w:t>
      </w:r>
    </w:p>
    <w:p>
      <w:pPr>
        <w:pStyle w:val="Normal"/>
        <w:spacing w:lineRule="auto" w:line="276" w:before="0" w:after="120"/>
        <w:ind w:left="426" w:hanging="0"/>
        <w:jc w:val="both"/>
        <w:rPr>
          <w:szCs w:val="24"/>
        </w:rPr>
      </w:pPr>
      <w:r>
        <w:rPr>
          <w:szCs w:val="24"/>
        </w:rPr>
        <w:t>1) wykonanie wszelkich robót przygotowawczych;</w:t>
      </w:r>
    </w:p>
    <w:p>
      <w:pPr>
        <w:pStyle w:val="Normal"/>
        <w:spacing w:lineRule="auto" w:line="276" w:before="0" w:after="120"/>
        <w:ind w:left="426" w:hanging="0"/>
        <w:jc w:val="both"/>
        <w:rPr>
          <w:szCs w:val="24"/>
          <w:u w:val="single"/>
        </w:rPr>
      </w:pPr>
      <w:r>
        <w:rPr>
          <w:szCs w:val="24"/>
        </w:rPr>
        <w:t>2) zagospodarowanie i wywóz gruntu z wykopów we własnym zakresie;</w:t>
      </w:r>
    </w:p>
    <w:p>
      <w:pPr>
        <w:pStyle w:val="Normal"/>
        <w:spacing w:lineRule="auto" w:line="276" w:before="0" w:after="120"/>
        <w:ind w:left="426" w:hanging="0"/>
        <w:jc w:val="both"/>
        <w:rPr>
          <w:szCs w:val="24"/>
        </w:rPr>
      </w:pPr>
      <w:r>
        <w:rPr>
          <w:szCs w:val="24"/>
        </w:rPr>
        <w:t xml:space="preserve">3) właściwe postępowanie z odpadami powstałymi przy wykonywaniu przedmiotu umowy; </w:t>
      </w:r>
    </w:p>
    <w:p>
      <w:pPr>
        <w:pStyle w:val="Normal"/>
        <w:spacing w:lineRule="auto" w:line="276" w:before="0" w:after="120"/>
        <w:ind w:left="425" w:hanging="0"/>
        <w:jc w:val="both"/>
        <w:rPr>
          <w:szCs w:val="24"/>
        </w:rPr>
      </w:pPr>
      <w:r>
        <w:rPr>
          <w:szCs w:val="24"/>
        </w:rPr>
        <w:t>4) wykonanie niezbędnych rusztowań.</w:t>
      </w:r>
    </w:p>
    <w:p>
      <w:pPr>
        <w:pStyle w:val="ListParagraph"/>
        <w:numPr>
          <w:ilvl w:val="0"/>
          <w:numId w:val="3"/>
        </w:numPr>
        <w:spacing w:lineRule="auto" w:line="276"/>
        <w:jc w:val="both"/>
        <w:rPr>
          <w:color w:val="FF0000"/>
          <w:szCs w:val="24"/>
        </w:rPr>
      </w:pPr>
      <w:r>
        <w:rPr>
          <w:szCs w:val="18"/>
        </w:rPr>
        <w:t>Pozostałe wymagania odnośnie realizacji inwestycji:</w:t>
      </w:r>
    </w:p>
    <w:p>
      <w:pPr>
        <w:pStyle w:val="Normal"/>
        <w:spacing w:lineRule="auto" w:line="276" w:before="0" w:after="120"/>
        <w:ind w:left="426" w:hanging="0"/>
        <w:jc w:val="both"/>
        <w:rPr>
          <w:szCs w:val="18"/>
        </w:rPr>
      </w:pPr>
      <w:r>
        <w:rPr>
          <w:szCs w:val="18"/>
        </w:rPr>
        <w:t>1) prace należy wykonać zgodnie z załączoną dokumentacją. Wszelkie materiały zamienne winny uzyskać akceptacji Inwestora oraz Inspektora Nadzoru;</w:t>
      </w:r>
    </w:p>
    <w:p>
      <w:pPr>
        <w:pStyle w:val="Normal"/>
        <w:spacing w:lineRule="auto" w:line="276" w:before="0" w:after="120"/>
        <w:ind w:left="426" w:hanging="0"/>
        <w:jc w:val="both"/>
        <w:rPr>
          <w:szCs w:val="18"/>
        </w:rPr>
      </w:pPr>
      <w:r>
        <w:rPr>
          <w:szCs w:val="18"/>
        </w:rPr>
        <w:t>2) w przypadku wątpliwości lub pojawienia się na budowie nieprzewidzianych w projekcie okoliczności Wykonawca powiadomi niezwłocznie Zamawiającego;</w:t>
      </w:r>
    </w:p>
    <w:p>
      <w:pPr>
        <w:pStyle w:val="Normal"/>
        <w:spacing w:lineRule="auto" w:line="276"/>
        <w:ind w:left="426" w:hanging="0"/>
        <w:jc w:val="both"/>
        <w:rPr>
          <w:szCs w:val="18"/>
        </w:rPr>
      </w:pPr>
      <w:r>
        <w:rPr>
          <w:szCs w:val="18"/>
        </w:rPr>
        <w:t>3) Zamawiający będzie organizował i zwoływał sukcesywne i cykliczne narady na budowie.</w:t>
      </w:r>
    </w:p>
    <w:p>
      <w:pPr>
        <w:pStyle w:val="ListParagraph"/>
        <w:numPr>
          <w:ilvl w:val="0"/>
          <w:numId w:val="3"/>
        </w:numPr>
        <w:spacing w:lineRule="auto" w:line="276"/>
        <w:jc w:val="both"/>
        <w:rPr>
          <w:color w:val="FF0000"/>
          <w:szCs w:val="18"/>
        </w:rPr>
      </w:pPr>
      <w:r>
        <w:rPr>
          <w:szCs w:val="18"/>
        </w:rPr>
        <w:t xml:space="preserve"> </w:t>
      </w:r>
      <w:r>
        <w:rPr>
          <w:szCs w:val="18"/>
        </w:rPr>
        <w:t>Informacje dodatkowe:</w:t>
      </w:r>
    </w:p>
    <w:p>
      <w:pPr>
        <w:pStyle w:val="Normal"/>
        <w:spacing w:lineRule="auto" w:line="276"/>
        <w:ind w:left="426" w:hanging="0"/>
        <w:jc w:val="both"/>
        <w:rPr>
          <w:szCs w:val="18"/>
        </w:rPr>
      </w:pPr>
      <w:r>
        <w:rPr>
          <w:szCs w:val="18"/>
        </w:rPr>
        <w:t xml:space="preserve">Wykonawca w ramach zadania zapewni odpowiedni personel do pełnienia samodzielnych funkcji </w:t>
        <w:br/>
        <w:t>w budownictwie posiadających odpowiednie kwalifikacje zawodowe (uprawnienia budowlane) dla kierownika robót branżowych.</w:t>
      </w:r>
    </w:p>
    <w:p>
      <w:pPr>
        <w:pStyle w:val="Normal"/>
        <w:spacing w:lineRule="auto" w:line="276"/>
        <w:ind w:left="0" w:hanging="0"/>
        <w:jc w:val="both"/>
        <w:rPr>
          <w:sz w:val="12"/>
          <w:szCs w:val="18"/>
        </w:rPr>
      </w:pPr>
      <w:r>
        <w:rPr>
          <w:sz w:val="12"/>
          <w:szCs w:val="18"/>
        </w:rPr>
      </w:r>
    </w:p>
    <w:p>
      <w:pPr>
        <w:pStyle w:val="ListParagraph"/>
        <w:numPr>
          <w:ilvl w:val="0"/>
          <w:numId w:val="3"/>
        </w:numPr>
        <w:spacing w:lineRule="auto" w:line="276"/>
        <w:jc w:val="both"/>
        <w:rPr>
          <w:sz w:val="36"/>
          <w:szCs w:val="18"/>
        </w:rPr>
      </w:pPr>
      <w:r>
        <w:rPr>
          <w:szCs w:val="18"/>
        </w:rPr>
        <w:t>Pozostałe warunki dotyczące realizacji zamówienia zostały określone w istotnych postanowieniach umowy (w projekcie umowy, stanowiącym załącznik do SIWZ).</w:t>
      </w:r>
    </w:p>
    <w:p>
      <w:pPr>
        <w:pStyle w:val="Normal"/>
        <w:widowControl w:val="false"/>
        <w:suppressAutoHyphens w:val="true"/>
        <w:overflowPunct w:val="true"/>
        <w:spacing w:lineRule="auto" w:line="276"/>
        <w:ind w:left="0" w:hanging="0"/>
        <w:jc w:val="both"/>
        <w:textAlignment w:val="baseline"/>
        <w:rPr>
          <w:rFonts w:eastAsia="Times New Roman"/>
          <w:kern w:val="2"/>
          <w:sz w:val="12"/>
          <w:szCs w:val="24"/>
          <w:lang w:eastAsia="pl-PL"/>
        </w:rPr>
      </w:pPr>
      <w:r>
        <w:rPr>
          <w:rFonts w:eastAsia="Times New Roman"/>
          <w:kern w:val="2"/>
          <w:sz w:val="12"/>
          <w:szCs w:val="24"/>
          <w:lang w:eastAsia="pl-PL"/>
        </w:rPr>
      </w:r>
    </w:p>
    <w:p>
      <w:pPr>
        <w:pStyle w:val="ListParagraph"/>
        <w:numPr>
          <w:ilvl w:val="0"/>
          <w:numId w:val="3"/>
        </w:numPr>
        <w:spacing w:lineRule="auto" w:line="276" w:before="0" w:after="120"/>
        <w:contextualSpacing/>
        <w:jc w:val="both"/>
        <w:rPr>
          <w:szCs w:val="18"/>
        </w:rPr>
      </w:pPr>
      <w:r>
        <w:rPr>
          <w:szCs w:val="18"/>
        </w:rPr>
        <w:t xml:space="preserve">Zamawiający na podstawie art. 29 ust. 3a ustawy Pzp wymaga zatrudnienia przez wykonawcę lub podwykonawcę na podstawie umowy o pracę osób wykonujących czynności w zakresie realizacji zamówienia w rozumieniu przepisów ustawy z dnia 26 czerwca 1974 r. – Kodeks pracy (Dz. U. z 2014 r.. poz. 1502 z późn. zm.). Zamawiający wymaga zatrudnienia przez Wykonawcę lub Podwykonawcę na podstawie umowy o pracę, osób wykonujących następujące czynności w zakresie realizacji zamówienia: </w:t>
      </w:r>
    </w:p>
    <w:p>
      <w:pPr>
        <w:pStyle w:val="Normal"/>
        <w:spacing w:lineRule="auto" w:line="276" w:before="0" w:after="120"/>
        <w:ind w:left="502" w:hanging="0"/>
        <w:jc w:val="both"/>
        <w:rPr>
          <w:szCs w:val="18"/>
        </w:rPr>
      </w:pPr>
      <w:r>
        <w:rPr>
          <w:b/>
          <w:szCs w:val="18"/>
        </w:rPr>
        <w:t xml:space="preserve">pracownicy fizyczni </w:t>
      </w:r>
      <w:r>
        <w:rPr>
          <w:szCs w:val="18"/>
        </w:rPr>
        <w:t>– bezpośrednie wykonywanie robót budowlanych (roboty murarskie, roboty izolacyjne, tynkowanie, roboty malarskie, roboty budowlane wykończeniowe) za wyjątkiem tych osób, które nie będą wykonywały czynności w sposób, o którym mowa w art. 29 ust. 3a ustawy Pzp.</w:t>
      </w:r>
    </w:p>
    <w:p>
      <w:pPr>
        <w:pStyle w:val="Normal"/>
        <w:spacing w:lineRule="auto" w:line="276" w:before="0" w:after="120"/>
        <w:ind w:left="360" w:hanging="0"/>
        <w:jc w:val="both"/>
        <w:rPr>
          <w:szCs w:val="18"/>
        </w:rPr>
      </w:pPr>
      <w:r>
        <w:rPr>
          <w:szCs w:val="18"/>
        </w:rPr>
        <w:t>W trakcie realizacji zamówienia Zamawiający uprawniony jest do wykonywania czynności kontrolnych wobec Wykonawcy odnośnie spełnienia przez Wykonawcę lub Podwykonawcę wymogu zatrudnienia na podstawie umowy o pracę osób wykonujących wskazane wyżej czynności. Zamawiający uprawniony jest w szczególności do:</w:t>
      </w:r>
    </w:p>
    <w:p>
      <w:pPr>
        <w:pStyle w:val="ListParagraph"/>
        <w:numPr>
          <w:ilvl w:val="0"/>
          <w:numId w:val="4"/>
        </w:numPr>
        <w:spacing w:lineRule="auto" w:line="276" w:before="0" w:after="120"/>
        <w:contextualSpacing/>
        <w:jc w:val="both"/>
        <w:rPr>
          <w:szCs w:val="18"/>
        </w:rPr>
      </w:pPr>
      <w:r>
        <w:rPr>
          <w:szCs w:val="18"/>
        </w:rPr>
        <w:t xml:space="preserve">żądania oświadczeń i dokumentów w zakresie potwierdzenia spełnienia ww. wymogów </w:t>
        <w:br/>
        <w:t>i dokonywania ich oceny;</w:t>
      </w:r>
    </w:p>
    <w:p>
      <w:pPr>
        <w:pStyle w:val="ListParagraph"/>
        <w:numPr>
          <w:ilvl w:val="0"/>
          <w:numId w:val="4"/>
        </w:numPr>
        <w:spacing w:lineRule="auto" w:line="276" w:before="0" w:after="120"/>
        <w:contextualSpacing/>
        <w:jc w:val="both"/>
        <w:rPr>
          <w:szCs w:val="18"/>
        </w:rPr>
      </w:pPr>
      <w:r>
        <w:rPr>
          <w:szCs w:val="18"/>
        </w:rPr>
        <w:t>żądania wyjaśnień w przypadku wątpliwości w zakresie potwierdzenia spełnienia ww. wymogów;</w:t>
      </w:r>
    </w:p>
    <w:p>
      <w:pPr>
        <w:pStyle w:val="ListParagraph"/>
        <w:numPr>
          <w:ilvl w:val="0"/>
          <w:numId w:val="4"/>
        </w:numPr>
        <w:spacing w:lineRule="auto" w:line="276" w:before="0" w:after="120"/>
        <w:contextualSpacing/>
        <w:jc w:val="both"/>
        <w:rPr>
          <w:szCs w:val="18"/>
        </w:rPr>
      </w:pPr>
      <w:r>
        <w:rPr>
          <w:szCs w:val="18"/>
        </w:rPr>
        <w:t xml:space="preserve">przeprowadzenia kontroli na miejscu wykonywania świadczenia bądź w czasie realizacji przedmiotu zamówienia. </w:t>
      </w:r>
    </w:p>
    <w:p>
      <w:pPr>
        <w:pStyle w:val="Normal"/>
        <w:spacing w:lineRule="auto" w:line="276" w:before="0" w:after="120"/>
        <w:ind w:left="0" w:hanging="0"/>
        <w:jc w:val="both"/>
        <w:rPr>
          <w:szCs w:val="18"/>
        </w:rPr>
      </w:pPr>
      <w:r>
        <w:rPr>
          <w:szCs w:val="18"/>
        </w:rPr>
        <w:t>Wykonawca/Podwykonawca:</w:t>
      </w:r>
    </w:p>
    <w:p>
      <w:pPr>
        <w:pStyle w:val="Normal"/>
        <w:spacing w:lineRule="auto" w:line="276" w:before="0" w:after="120"/>
        <w:ind w:left="0" w:hanging="0"/>
        <w:jc w:val="both"/>
        <w:rPr>
          <w:szCs w:val="18"/>
        </w:rPr>
      </w:pPr>
      <w:r>
        <w:rPr>
          <w:szCs w:val="18"/>
        </w:rPr>
        <w:t>1) zobowiązuje się, że Pracownicy świadczący usługi będą w okresie realizacji umowy zatrudnieni na podstawie umowy o pracę w rozumieniu przepisów ustawy z dnia 26 czerwca 1974 r. -Kodeks pracy (Dz. U. 2014 r., poz. 1502 ze zm.);</w:t>
      </w:r>
    </w:p>
    <w:p>
      <w:pPr>
        <w:pStyle w:val="Normal"/>
        <w:spacing w:lineRule="auto" w:line="276" w:before="0" w:after="120"/>
        <w:ind w:left="0" w:hanging="0"/>
        <w:jc w:val="both"/>
        <w:rPr>
          <w:szCs w:val="18"/>
        </w:rPr>
      </w:pPr>
      <w:r>
        <w:rPr>
          <w:szCs w:val="18"/>
        </w:rPr>
        <w:t>2) każdorazowo na żądanie Zamawiającego, w terminie wskazanym przez Zamawiającego nie krótszym niż 5 dni robocze, Wykonawca zobowiązuje się przedłożyć do wglądu poświadczone za zgodność z oryginałem odpowiednio przez Wykonawcę lub Podwykonawcę kopię umów o pracę osób wykonujących w trakcie realizacji zamówienia czynności, o których mowa w pkt. 1. Kopia umów o pracę powinna zostać zanonimizowana w sposób zapewniający ochronę danych osobowych pracowników, zgodnie z przepisami ustawy z dnia 29 sierpnia 1997 r. o ochronie danych osobowych. Informacje takie jak: data zawarcia umowy, rodzaj umowy o pracę i wymiar etatu powinny być możliwe do zidentyfikowania;</w:t>
      </w:r>
    </w:p>
    <w:p>
      <w:pPr>
        <w:pStyle w:val="Normal"/>
        <w:spacing w:lineRule="auto" w:line="276" w:before="0" w:after="120"/>
        <w:ind w:left="0" w:hanging="0"/>
        <w:jc w:val="both"/>
        <w:rPr>
          <w:szCs w:val="18"/>
        </w:rPr>
      </w:pPr>
      <w:r>
        <w:rPr>
          <w:szCs w:val="18"/>
        </w:rPr>
        <w:t>3) nieprzedłożenie przez Wykonawcę kopii umów zawartych przez Wykonawcę z Pracownikami świadczącymi usługi / roboty budowlane w terminie wskazanym przez Zamawiającego zgodnie z pkt. 2 będzie traktowane jako niewypełnienie obowiązku zatrudnienia Pracowników świadczących usługi/roboty budowlane na podstawie umowy o pracę;</w:t>
      </w:r>
    </w:p>
    <w:p>
      <w:pPr>
        <w:pStyle w:val="Normal"/>
        <w:spacing w:lineRule="auto" w:line="276" w:before="0" w:after="120"/>
        <w:ind w:left="0" w:hanging="0"/>
        <w:jc w:val="both"/>
        <w:rPr>
          <w:szCs w:val="18"/>
        </w:rPr>
      </w:pPr>
      <w:r>
        <w:rPr>
          <w:szCs w:val="18"/>
        </w:rPr>
        <w:t>4) za niedopełnienie wymogu zatrudniania Pracowników świadczących usługi na podstawie umowy o pracę w rozumieniu przepisów Kodeksu Pracy, Wykonawca zapłaci Zamawiającemu kary umowne w wysokości określonej w załączonym do SIWZ wzorze umowy.</w:t>
      </w:r>
    </w:p>
    <w:p>
      <w:pPr>
        <w:pStyle w:val="ListParagraph"/>
        <w:numPr>
          <w:ilvl w:val="0"/>
          <w:numId w:val="3"/>
        </w:numPr>
        <w:spacing w:lineRule="auto" w:line="276"/>
        <w:ind w:left="567" w:hanging="360"/>
        <w:jc w:val="both"/>
        <w:rPr>
          <w:szCs w:val="18"/>
        </w:rPr>
      </w:pPr>
      <w:r>
        <w:rPr>
          <w:szCs w:val="18"/>
        </w:rPr>
        <w:t>Zamawiający nie wprowadza zastrzeżenia wskazującego na obowiązek osobistego wykonania przez Wykonawcę kluczowych części zamówienia</w:t>
      </w:r>
      <w:r>
        <w:rPr>
          <w:color w:val="FF0000"/>
          <w:szCs w:val="18"/>
        </w:rPr>
        <w:t>.</w:t>
      </w:r>
    </w:p>
    <w:p>
      <w:pPr>
        <w:pStyle w:val="Normal"/>
        <w:spacing w:lineRule="auto" w:line="276"/>
        <w:ind w:left="567" w:hanging="0"/>
        <w:jc w:val="both"/>
        <w:rPr>
          <w:sz w:val="12"/>
          <w:szCs w:val="18"/>
        </w:rPr>
      </w:pPr>
      <w:r>
        <w:rPr>
          <w:sz w:val="12"/>
          <w:szCs w:val="18"/>
        </w:rPr>
      </w:r>
    </w:p>
    <w:p>
      <w:pPr>
        <w:pStyle w:val="ListParagraph"/>
        <w:numPr>
          <w:ilvl w:val="0"/>
          <w:numId w:val="3"/>
        </w:numPr>
        <w:spacing w:lineRule="auto" w:line="276"/>
        <w:ind w:left="567" w:hanging="360"/>
        <w:jc w:val="both"/>
        <w:rPr>
          <w:color w:val="FF0000"/>
          <w:szCs w:val="18"/>
        </w:rPr>
      </w:pPr>
      <w:r>
        <w:rPr>
          <w:szCs w:val="18"/>
        </w:rPr>
        <w:t xml:space="preserve">Zamawiający żąda wskazania przez wykonawcę zakresu pracy i przedmiotu tych części zamówienia (zakresów rzeczowych), których wykonanie zamierza powierzyć podwykonawcom, i podania przez wykonawcę firm podwykonawców. Wskazanie takie należy umieścić na formularzu ofertowym. </w:t>
        <w:br/>
        <w:t xml:space="preserve">W przypadku braku wskazania w ofercie podwykonawstwa Wykonawca będzie mógł wprowadzić Podwykonawcę wyłącznie na warunkach określonych w umowie. </w:t>
      </w:r>
    </w:p>
    <w:p>
      <w:pPr>
        <w:pStyle w:val="ListParagraph"/>
        <w:rPr>
          <w:color w:val="FF0000"/>
          <w:sz w:val="12"/>
          <w:szCs w:val="18"/>
        </w:rPr>
      </w:pPr>
      <w:r>
        <w:rPr>
          <w:color w:val="FF0000"/>
          <w:sz w:val="12"/>
          <w:szCs w:val="18"/>
        </w:rPr>
      </w:r>
    </w:p>
    <w:p>
      <w:pPr>
        <w:pStyle w:val="ListParagraph"/>
        <w:numPr>
          <w:ilvl w:val="0"/>
          <w:numId w:val="3"/>
        </w:numPr>
        <w:spacing w:lineRule="auto" w:line="276"/>
        <w:ind w:left="567" w:hanging="360"/>
        <w:jc w:val="both"/>
        <w:rPr>
          <w:color w:val="FF0000"/>
          <w:szCs w:val="18"/>
        </w:rPr>
      </w:pPr>
      <w:r>
        <w:rPr>
          <w:szCs w:val="18"/>
        </w:rPr>
        <w:t>Zamawiający nie precyzuje wymagań o których mowa w art. 29 ust. 4 ustawy Pzp.</w:t>
      </w:r>
    </w:p>
    <w:p>
      <w:pPr>
        <w:pStyle w:val="Normal"/>
        <w:widowControl w:val="false"/>
        <w:suppressAutoHyphens w:val="true"/>
        <w:overflowPunct w:val="true"/>
        <w:spacing w:lineRule="auto" w:line="276"/>
        <w:ind w:left="0" w:hanging="0"/>
        <w:jc w:val="both"/>
        <w:textAlignment w:val="baseline"/>
        <w:rPr>
          <w:rFonts w:eastAsia="Times New Roman"/>
          <w:kern w:val="2"/>
          <w:sz w:val="20"/>
          <w:szCs w:val="24"/>
          <w:lang w:eastAsia="pl-PL"/>
        </w:rPr>
      </w:pPr>
      <w:r>
        <w:rPr>
          <w:rFonts w:eastAsia="Times New Roman"/>
          <w:kern w:val="2"/>
          <w:sz w:val="20"/>
          <w:szCs w:val="24"/>
          <w:lang w:eastAsia="pl-PL"/>
        </w:rPr>
      </w:r>
    </w:p>
    <w:p>
      <w:pPr>
        <w:pStyle w:val="Artyku"/>
        <w:numPr>
          <w:ilvl w:val="0"/>
          <w:numId w:val="1"/>
        </w:numPr>
        <w:rPr/>
      </w:pPr>
      <w:bookmarkStart w:id="5" w:name="_Toc496698266"/>
      <w:r>
        <w:rPr/>
        <w:t>Termin wykonania zamówienia</w:t>
      </w:r>
      <w:bookmarkEnd w:id="5"/>
    </w:p>
    <w:p>
      <w:pPr>
        <w:pStyle w:val="ListParagraph"/>
        <w:widowControl w:val="false"/>
        <w:suppressAutoHyphens w:val="true"/>
        <w:overflowPunct w:val="true"/>
        <w:ind w:left="1080" w:hanging="0"/>
        <w:jc w:val="both"/>
        <w:textAlignment w:val="baseline"/>
        <w:rPr>
          <w:rFonts w:eastAsia="Times New Roman"/>
          <w:b/>
          <w:b/>
          <w:kern w:val="2"/>
          <w:szCs w:val="18"/>
          <w:lang w:eastAsia="pl-PL"/>
        </w:rPr>
      </w:pPr>
      <w:r>
        <w:rPr>
          <w:rFonts w:eastAsia="Times New Roman"/>
          <w:b/>
          <w:kern w:val="2"/>
          <w:szCs w:val="18"/>
          <w:lang w:eastAsia="pl-PL"/>
        </w:rPr>
      </w:r>
    </w:p>
    <w:p>
      <w:pPr>
        <w:pStyle w:val="Normal"/>
        <w:spacing w:lineRule="auto" w:line="276"/>
        <w:ind w:left="0" w:hanging="0"/>
        <w:jc w:val="both"/>
        <w:rPr/>
      </w:pPr>
      <w:r>
        <w:rPr>
          <w:szCs w:val="18"/>
        </w:rPr>
        <w:t xml:space="preserve">Termin wykonania przedmiotu umowy do: </w:t>
      </w:r>
      <w:r>
        <w:rPr>
          <w:b/>
          <w:bCs/>
          <w:szCs w:val="18"/>
        </w:rPr>
        <w:t>15 grudnia</w:t>
      </w:r>
      <w:r>
        <w:rPr>
          <w:b/>
          <w:bCs/>
          <w:color w:val="000000"/>
          <w:szCs w:val="18"/>
        </w:rPr>
        <w:t xml:space="preserve"> 2018 roku.</w:t>
      </w:r>
    </w:p>
    <w:p>
      <w:pPr>
        <w:pStyle w:val="Normal"/>
        <w:spacing w:lineRule="auto" w:line="276"/>
        <w:ind w:left="0" w:hanging="0"/>
        <w:jc w:val="both"/>
        <w:rPr>
          <w:bCs/>
          <w:szCs w:val="18"/>
        </w:rPr>
      </w:pPr>
      <w:r>
        <w:rPr>
          <w:bCs/>
          <w:szCs w:val="18"/>
        </w:rPr>
      </w:r>
    </w:p>
    <w:p>
      <w:pPr>
        <w:pStyle w:val="Artyku"/>
        <w:numPr>
          <w:ilvl w:val="0"/>
          <w:numId w:val="1"/>
        </w:numPr>
        <w:rPr/>
      </w:pPr>
      <w:bookmarkStart w:id="6" w:name="_Toc496698267"/>
      <w:r>
        <w:rPr/>
        <w:t>Warunki udziału w postępowaniu</w:t>
      </w:r>
      <w:bookmarkEnd w:id="6"/>
    </w:p>
    <w:p>
      <w:pPr>
        <w:pStyle w:val="Normal"/>
        <w:ind w:left="360" w:hanging="0"/>
        <w:rPr>
          <w:rFonts w:eastAsia="Calibri"/>
          <w:b/>
          <w:b/>
          <w:kern w:val="2"/>
          <w:szCs w:val="18"/>
          <w:lang w:eastAsia="pl-PL"/>
        </w:rPr>
      </w:pPr>
      <w:r>
        <w:rPr>
          <w:rFonts w:eastAsia="Calibri"/>
          <w:b/>
          <w:kern w:val="2"/>
          <w:szCs w:val="18"/>
          <w:lang w:eastAsia="pl-PL"/>
        </w:rPr>
      </w:r>
    </w:p>
    <w:p>
      <w:pPr>
        <w:pStyle w:val="Normal"/>
        <w:spacing w:lineRule="auto" w:line="276" w:before="0" w:after="120"/>
        <w:ind w:left="0" w:hanging="0"/>
        <w:jc w:val="both"/>
        <w:rPr>
          <w:szCs w:val="18"/>
        </w:rPr>
      </w:pPr>
      <w:r>
        <w:rPr>
          <w:szCs w:val="18"/>
        </w:rPr>
        <w:t xml:space="preserve">1. O udzielenie zamówienia mogą ubiegać się Wykonawcy, którzy spełniają warunki o których mowa </w:t>
        <w:br/>
        <w:t>w art. 22 ust 1 ustawy Pzp i którzy wykażą ich spełnianie na poziomie wymaganym przez Zamawiającego zgodnie z opisem zamieszczonym w ust. 2 oraz niepodlegający wykluczeniu z powodu niespełniania warunków, o których mowa w art. 24 ust. 1 pkt. 12-23 oraz ust. 5 pkt. 1 i 8 ustawy .</w:t>
      </w:r>
    </w:p>
    <w:p>
      <w:pPr>
        <w:pStyle w:val="Normal"/>
        <w:spacing w:lineRule="auto" w:line="276" w:before="0" w:after="120"/>
        <w:ind w:left="0" w:hanging="0"/>
        <w:jc w:val="both"/>
        <w:rPr>
          <w:szCs w:val="18"/>
        </w:rPr>
      </w:pPr>
      <w:r>
        <w:rPr>
          <w:szCs w:val="18"/>
        </w:rPr>
        <w:t>2. O udzielenie zamówienia mogą ubiegać się Wykonawcy, którzy spełniają warunki dotyczące:</w:t>
      </w:r>
    </w:p>
    <w:p>
      <w:pPr>
        <w:pStyle w:val="Normal"/>
        <w:spacing w:lineRule="auto" w:line="276" w:before="0" w:after="120"/>
        <w:ind w:left="0" w:hanging="0"/>
        <w:jc w:val="both"/>
        <w:rPr>
          <w:szCs w:val="18"/>
        </w:rPr>
      </w:pPr>
      <w:r>
        <w:rPr>
          <w:szCs w:val="18"/>
        </w:rPr>
        <w:t xml:space="preserve">1) </w:t>
      </w:r>
      <w:r>
        <w:rPr>
          <w:b/>
          <w:bCs/>
          <w:szCs w:val="18"/>
        </w:rPr>
        <w:t xml:space="preserve">posiadania kompetencji lub uprawnień do prowadzenia określonej działalności zawodowej, o ile wynika to z odrębnych przepisów </w:t>
      </w:r>
      <w:r>
        <w:rPr>
          <w:szCs w:val="18"/>
        </w:rPr>
        <w:t xml:space="preserve">- Zamawiający odstępuje od opisu sposobu dokonania oceny spełniania warunku w tym zakresie. Zamawiający dokona oceny spełnienia warunku udziału w postępowaniu w tym zakresie na podstawie oświadczenia o spełnianiu warunków udziału w postępowaniu, o którym mowa </w:t>
        <w:br/>
        <w:t>w rozdziale VI ust. 1 pkt. 2 SIWZ;</w:t>
      </w:r>
    </w:p>
    <w:p>
      <w:pPr>
        <w:pStyle w:val="Normal"/>
        <w:spacing w:lineRule="auto" w:line="276" w:before="0" w:after="120"/>
        <w:ind w:left="0" w:hanging="0"/>
        <w:jc w:val="both"/>
        <w:rPr>
          <w:szCs w:val="18"/>
        </w:rPr>
      </w:pPr>
      <w:r>
        <w:rPr>
          <w:szCs w:val="18"/>
        </w:rPr>
        <w:t xml:space="preserve">2) </w:t>
      </w:r>
      <w:r>
        <w:rPr>
          <w:b/>
          <w:bCs/>
          <w:szCs w:val="18"/>
        </w:rPr>
        <w:t xml:space="preserve">znajdują się w sytuacji ekonomicznej lub finansowej </w:t>
      </w:r>
      <w:r>
        <w:rPr>
          <w:szCs w:val="18"/>
        </w:rPr>
        <w:t xml:space="preserve">- Zamawiający odstępuje od opisu sposobu dokonania oceny spełniania warunku w tym zakresie. Zamawiający dokona oceny spełnienia warunku udziału w postępowaniu w tym zakresie na podstawie oświadczenia o spełnianiu warunków udziału </w:t>
        <w:br/>
        <w:t>w postępowaniu, o którym mowa w rozdziale VI ust. 1 pkt. 2 SIWZ;</w:t>
      </w:r>
    </w:p>
    <w:p>
      <w:pPr>
        <w:pStyle w:val="Normal"/>
        <w:spacing w:lineRule="auto" w:line="276" w:before="0" w:after="120"/>
        <w:ind w:left="0" w:hanging="0"/>
        <w:jc w:val="both"/>
        <w:rPr>
          <w:szCs w:val="18"/>
        </w:rPr>
      </w:pPr>
      <w:r>
        <w:rPr>
          <w:szCs w:val="18"/>
        </w:rPr>
        <w:t xml:space="preserve">3) </w:t>
      </w:r>
      <w:r>
        <w:rPr>
          <w:b/>
          <w:bCs/>
          <w:szCs w:val="18"/>
        </w:rPr>
        <w:t xml:space="preserve">posiadają zdolności techniczne lub zawodowe </w:t>
      </w:r>
      <w:r>
        <w:rPr>
          <w:szCs w:val="18"/>
        </w:rPr>
        <w:t>– Zamawiający uzna warunek za spełniony, jeżeli Wykonawca wykaże, że:</w:t>
      </w:r>
    </w:p>
    <w:p>
      <w:pPr>
        <w:pStyle w:val="ListParagraph"/>
        <w:spacing w:lineRule="auto" w:line="276" w:before="0" w:after="120"/>
        <w:ind w:left="0" w:hanging="0"/>
        <w:contextualSpacing/>
        <w:jc w:val="both"/>
        <w:rPr>
          <w:szCs w:val="18"/>
        </w:rPr>
      </w:pPr>
      <w:r>
        <w:rPr>
          <w:szCs w:val="18"/>
        </w:rPr>
        <w:t xml:space="preserve">3.1) w okresie ostatnich pięciu lat przed upływem terminu składania ofert, a jeżeli okres prowadzenia działalności jest krótszy – w tym okresie </w:t>
      </w:r>
      <w:r>
        <w:rPr>
          <w:b/>
          <w:bCs/>
          <w:szCs w:val="18"/>
        </w:rPr>
        <w:t xml:space="preserve">wykonał należycie oraz zgodnie z zasadami sztuki budowlanej i prawidłowo ukończył co najmniej 2 roboty budowlane, której przedmiotem była izolacja termiczna obiektów,  o łącznej wartości robót co najmniej 200 000 złotych brutto,  </w:t>
      </w:r>
      <w:r>
        <w:rPr>
          <w:szCs w:val="18"/>
        </w:rPr>
        <w:t xml:space="preserve">wraz z podaniem ich rodzaju, wartości, daty, miejsca wykonania i podmiotów, na rzecz których roboty te zostały wykonane, </w:t>
        <w:br/>
        <w:t>z załączeniem dowodów określających czy te roboty budowlane zostały wykonane należycie</w:t>
        <w:br/>
        <w:t xml:space="preserve">w szczególności informacji o tym czy roboty zostały wykonane zgodnie z przepisami prawa budowlanego </w:t>
        <w:br/>
        <w:t xml:space="preserve">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p>
    <w:p>
      <w:pPr>
        <w:pStyle w:val="ListParagraph"/>
        <w:spacing w:lineRule="auto" w:line="276" w:before="120" w:after="0"/>
        <w:ind w:left="0" w:hanging="0"/>
        <w:contextualSpacing/>
        <w:jc w:val="both"/>
        <w:rPr>
          <w:sz w:val="14"/>
          <w:szCs w:val="18"/>
        </w:rPr>
      </w:pPr>
      <w:r>
        <w:rPr>
          <w:sz w:val="14"/>
          <w:szCs w:val="18"/>
        </w:rPr>
      </w:r>
    </w:p>
    <w:p>
      <w:pPr>
        <w:pStyle w:val="ListParagraph"/>
        <w:spacing w:lineRule="auto" w:line="276" w:before="120" w:after="0"/>
        <w:ind w:left="0" w:hanging="0"/>
        <w:contextualSpacing/>
        <w:jc w:val="both"/>
        <w:rPr>
          <w:color w:val="FF0000"/>
          <w:szCs w:val="18"/>
        </w:rPr>
      </w:pPr>
      <w:r>
        <w:rPr>
          <w:szCs w:val="18"/>
        </w:rPr>
        <w:t xml:space="preserve">3.2) warunek ten zostanie spełniony jeśli wykonawca przedstawi, że </w:t>
      </w:r>
      <w:r>
        <w:rPr>
          <w:b/>
          <w:bCs/>
          <w:szCs w:val="18"/>
        </w:rPr>
        <w:t xml:space="preserve">dysponuje lub będzie dysponował  osobą lub osobami posiadającymi uprawnienia budowlane do pełnienia funkcji kierownika robót lub kierownika budowy w specjalności konstrukcyjno-budowlanej. </w:t>
      </w:r>
      <w:r>
        <w:rPr>
          <w:bCs/>
          <w:szCs w:val="18"/>
        </w:rPr>
        <w:t xml:space="preserve">Wyżej wymieniona osoba/osoby może/mogą posiadać odpowiadające im uprawnienia budowlane wydane na podstawie wcześniej obowiązujących przepisów lub uprawnienia zagraniczne uznane w zakresie i na zasadach opisanych </w:t>
        <w:br/>
        <w:t xml:space="preserve">w ustawie z dnia 22 grudnia 2015 r. o zasadach uznawania kwalifikacji zawodowych nabytych w państwach członkowskich Unii Europejskiej (Dz. U. 2016, poz. 65), które uprawniają do kierowania robotami </w:t>
        <w:br/>
        <w:t>w zakresie przewidzianym opisem powyżej.</w:t>
      </w:r>
    </w:p>
    <w:p>
      <w:pPr>
        <w:pStyle w:val="ListParagraph"/>
        <w:spacing w:lineRule="auto" w:line="276" w:before="0" w:after="120"/>
        <w:ind w:left="0" w:hanging="0"/>
        <w:contextualSpacing/>
        <w:jc w:val="both"/>
        <w:rPr>
          <w:sz w:val="14"/>
          <w:szCs w:val="18"/>
        </w:rPr>
      </w:pPr>
      <w:r>
        <w:rPr>
          <w:sz w:val="14"/>
          <w:szCs w:val="18"/>
        </w:rPr>
      </w:r>
    </w:p>
    <w:p>
      <w:pPr>
        <w:pStyle w:val="ListParagraph"/>
        <w:spacing w:lineRule="auto" w:line="276" w:before="0" w:after="120"/>
        <w:ind w:left="0" w:hanging="0"/>
        <w:contextualSpacing/>
        <w:jc w:val="both"/>
        <w:rPr>
          <w:color w:val="FF0000"/>
          <w:szCs w:val="18"/>
        </w:rPr>
      </w:pPr>
      <w:r>
        <w:rPr>
          <w:szCs w:val="18"/>
        </w:rPr>
        <w:t xml:space="preserve">3. Zgodnie z art. 22a ustawy Pzp Wykonawca może w celu potwierdzenia spełniania warunków udziału </w:t>
        <w:br/>
        <w:t xml:space="preserve">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 Zgodnie </w:t>
        <w:br/>
        <w:t xml:space="preserve">z art. 22a ust. 2 Wykonawca, który polega na zdolnościach lub sytuacji innych podmiotów musi udowodnić </w:t>
      </w:r>
    </w:p>
    <w:p>
      <w:pPr>
        <w:pStyle w:val="ListParagraph"/>
        <w:spacing w:lineRule="auto" w:line="276" w:before="0" w:after="120"/>
        <w:ind w:left="0" w:hanging="0"/>
        <w:contextualSpacing/>
        <w:jc w:val="both"/>
        <w:rPr>
          <w:b/>
          <w:b/>
          <w:bCs/>
          <w:szCs w:val="18"/>
        </w:rPr>
      </w:pPr>
      <w:r>
        <w:rPr>
          <w:szCs w:val="18"/>
        </w:rPr>
        <w:t xml:space="preserve">zamawiającemu, że realizując zamówienie, będzie dysponował niezbędnymi zasobami tych podmiotów, </w:t>
        <w:br/>
        <w:t xml:space="preserve">w szczególności przedstawiając w tym celu </w:t>
      </w:r>
      <w:r>
        <w:rPr>
          <w:b/>
          <w:szCs w:val="18"/>
        </w:rPr>
        <w:t>zobowiązanie</w:t>
      </w:r>
      <w:r>
        <w:rPr>
          <w:szCs w:val="18"/>
        </w:rPr>
        <w:t xml:space="preserve"> tych podmiotów do oddania mu do dyspozycji niezbędnych zasobów na potrzeby realizacji zamówienia. Wzór zobowiązania stanowi załącznik nr 3 do SIWZ. Zobowiązanie podmiotu trzeciego o którym mowa w art. 22a ust. 2 winno być złożone </w:t>
        <w:br/>
        <w:t xml:space="preserve">w </w:t>
      </w:r>
      <w:r>
        <w:rPr>
          <w:b/>
          <w:bCs/>
          <w:szCs w:val="18"/>
        </w:rPr>
        <w:t>formie oryginału.</w:t>
      </w:r>
    </w:p>
    <w:p>
      <w:pPr>
        <w:pStyle w:val="ListParagraph"/>
        <w:spacing w:lineRule="auto" w:line="276" w:before="0" w:after="120"/>
        <w:ind w:left="0" w:hanging="0"/>
        <w:contextualSpacing/>
        <w:jc w:val="both"/>
        <w:rPr>
          <w:sz w:val="14"/>
          <w:szCs w:val="18"/>
        </w:rPr>
      </w:pPr>
      <w:r>
        <w:rPr>
          <w:sz w:val="14"/>
          <w:szCs w:val="18"/>
        </w:rPr>
      </w:r>
    </w:p>
    <w:p>
      <w:pPr>
        <w:pStyle w:val="ListParagraph"/>
        <w:spacing w:lineRule="auto" w:line="276" w:before="0" w:after="120"/>
        <w:ind w:left="0" w:hanging="0"/>
        <w:contextualSpacing/>
        <w:jc w:val="both"/>
        <w:rPr>
          <w:b/>
          <w:b/>
          <w:bCs/>
          <w:szCs w:val="18"/>
        </w:rPr>
      </w:pPr>
      <w:r>
        <w:rPr>
          <w:szCs w:val="18"/>
        </w:rPr>
        <w:t xml:space="preserve">4. Zgodnie z art. 22a ust. 4 ustawy w odniesieniu do warunków dotyczących </w:t>
      </w:r>
      <w:r>
        <w:rPr>
          <w:b/>
          <w:bCs/>
          <w:szCs w:val="18"/>
        </w:rPr>
        <w:t>wykształcenia, kwalifikacji zawodowych lub doświadczenia</w:t>
      </w:r>
      <w:r>
        <w:rPr>
          <w:szCs w:val="18"/>
        </w:rPr>
        <w:t xml:space="preserve">, </w:t>
      </w:r>
      <w:r>
        <w:rPr>
          <w:b/>
          <w:bCs/>
          <w:szCs w:val="18"/>
        </w:rPr>
        <w:t>wykonawcy mogą polegać na zdolnościach innych podmiotów, jeśli podmioty te zrealizują roboty budowlane lub usługi, do realizacji których te zdolności są wymagane</w:t>
      </w:r>
      <w:r>
        <w:rPr>
          <w:szCs w:val="18"/>
        </w:rPr>
        <w:t>. Zgodnie z art. 22a ust. 5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pPr>
        <w:pStyle w:val="Normal"/>
        <w:spacing w:lineRule="auto" w:line="276" w:before="0" w:after="120"/>
        <w:ind w:left="0" w:hanging="0"/>
        <w:jc w:val="both"/>
        <w:rPr>
          <w:szCs w:val="18"/>
        </w:rPr>
      </w:pPr>
      <w:r>
        <w:rPr>
          <w:szCs w:val="18"/>
        </w:rPr>
        <w:t>5. Jeżeli zdolności techniczne lub zawodowe lub sytuacja ekonomiczna lub finansowa, podmiotu, na zasobach którego polega wykonawca, nie potwierdzają spełnienia przez wykonawcę warunków udziału w postępowaniu lub zachodzą wobec tych podmiotów podstawy wykluczenia, zamawiający żąda, aby wykonawca w terminie określonym przez zamawiającego:</w:t>
      </w:r>
    </w:p>
    <w:p>
      <w:pPr>
        <w:pStyle w:val="Normal"/>
        <w:spacing w:lineRule="auto" w:line="276" w:before="0" w:after="120"/>
        <w:ind w:left="0" w:hanging="0"/>
        <w:jc w:val="both"/>
        <w:rPr>
          <w:szCs w:val="18"/>
        </w:rPr>
      </w:pPr>
      <w:r>
        <w:rPr>
          <w:szCs w:val="18"/>
        </w:rPr>
        <w:t>a) zastąpił ten podmiot innym podmiotem lub podmiotami lub</w:t>
      </w:r>
    </w:p>
    <w:p>
      <w:pPr>
        <w:pStyle w:val="Normal"/>
        <w:spacing w:lineRule="auto" w:line="276" w:before="0" w:after="120"/>
        <w:ind w:left="0" w:hanging="0"/>
        <w:jc w:val="both"/>
        <w:rPr>
          <w:szCs w:val="18"/>
        </w:rPr>
      </w:pPr>
      <w:r>
        <w:rPr>
          <w:szCs w:val="18"/>
        </w:rPr>
        <w:t>b) zobowiązał się do osobistego wykonania odpowiedniej części zamówienia, jeżeli wykaże wymagane zdolności techniczne lub zawodowe lub sytuację finansową lub ekonomiczną odpowiednio innych podmiotów lub własne.</w:t>
      </w:r>
    </w:p>
    <w:p>
      <w:pPr>
        <w:pStyle w:val="Normal"/>
        <w:spacing w:lineRule="auto" w:line="276" w:before="0" w:after="120"/>
        <w:ind w:left="0" w:hanging="0"/>
        <w:jc w:val="both"/>
        <w:rPr>
          <w:szCs w:val="18"/>
        </w:rPr>
      </w:pPr>
      <w:r>
        <w:rPr>
          <w:szCs w:val="18"/>
        </w:rPr>
        <w:t xml:space="preserve">6. Ocena spełniania w/w warunków dokonana zostanie zgodnie z formułą </w:t>
      </w:r>
      <w:r>
        <w:rPr>
          <w:b/>
          <w:bCs/>
          <w:szCs w:val="18"/>
        </w:rPr>
        <w:t>„spełnia / nie spełnia”</w:t>
      </w:r>
      <w:r>
        <w:rPr>
          <w:szCs w:val="18"/>
        </w:rPr>
        <w:t>, w oparciu o informacje zawarte w złożonych dokumentach. Z treści załączonych dokumentów musi wynikać jednoznacznie, iż w/w warunki Wykonawca spełnił.</w:t>
      </w:r>
    </w:p>
    <w:p>
      <w:pPr>
        <w:pStyle w:val="Artyku"/>
        <w:ind w:left="1077" w:hanging="720"/>
        <w:rPr>
          <w:kern w:val="2"/>
          <w:lang w:eastAsia="pl-PL"/>
        </w:rPr>
      </w:pPr>
      <w:bookmarkStart w:id="7" w:name="_Toc496698268"/>
      <w:r>
        <w:rPr>
          <w:kern w:val="2"/>
          <w:lang w:eastAsia="pl-PL"/>
        </w:rPr>
        <w:t>Va. Podstawy wykluczenia</w:t>
      </w:r>
      <w:bookmarkEnd w:id="7"/>
    </w:p>
    <w:p>
      <w:pPr>
        <w:pStyle w:val="Normal"/>
        <w:ind w:left="360" w:hanging="0"/>
        <w:rPr>
          <w:rFonts w:eastAsia="Calibri"/>
          <w:szCs w:val="18"/>
        </w:rPr>
      </w:pPr>
      <w:r>
        <w:rPr>
          <w:rFonts w:eastAsia="Calibri"/>
          <w:szCs w:val="18"/>
        </w:rPr>
      </w:r>
    </w:p>
    <w:p>
      <w:pPr>
        <w:pStyle w:val="Normal"/>
        <w:ind w:left="0" w:hanging="0"/>
        <w:jc w:val="both"/>
        <w:rPr>
          <w:rFonts w:eastAsia="Calibri"/>
          <w:szCs w:val="18"/>
        </w:rPr>
      </w:pPr>
      <w:r>
        <w:rPr>
          <w:rFonts w:eastAsia="Calibri"/>
          <w:szCs w:val="18"/>
        </w:rPr>
        <w:t>Obligatoryjne przesłanki wykluczenia Wykonawcy określono w art. 24 ust. 1 pkt 12-23 oraz fakultatywne określone w art. 24 ust. 5 pkt 1 i 8 ustawy Pzp.</w:t>
      </w:r>
    </w:p>
    <w:p>
      <w:pPr>
        <w:pStyle w:val="Normal"/>
        <w:ind w:left="0" w:hanging="0"/>
        <w:rPr>
          <w:rFonts w:eastAsia="Calibri"/>
          <w:szCs w:val="18"/>
        </w:rPr>
      </w:pPr>
      <w:r>
        <w:rPr>
          <w:rFonts w:eastAsia="Calibri"/>
          <w:szCs w:val="18"/>
        </w:rPr>
      </w:r>
    </w:p>
    <w:p>
      <w:pPr>
        <w:pStyle w:val="Artyku"/>
        <w:numPr>
          <w:ilvl w:val="0"/>
          <w:numId w:val="1"/>
        </w:numPr>
        <w:jc w:val="both"/>
        <w:rPr/>
      </w:pPr>
      <w:bookmarkStart w:id="8" w:name="_Toc496698269"/>
      <w:r>
        <w:rPr/>
        <w:t xml:space="preserve">Wykaz dokumentów i oświadczeń, potwierdzających spełnianie warunków udziału </w:t>
        <w:br/>
        <w:t>w postępowaniu oraz brak podstaw wykluczenia</w:t>
      </w:r>
      <w:bookmarkEnd w:id="8"/>
    </w:p>
    <w:p>
      <w:pPr>
        <w:pStyle w:val="Normal"/>
        <w:ind w:left="360" w:hanging="0"/>
        <w:rPr>
          <w:rFonts w:eastAsia="Calibri"/>
          <w:b/>
          <w:b/>
          <w:szCs w:val="18"/>
        </w:rPr>
      </w:pPr>
      <w:r>
        <w:rPr>
          <w:rFonts w:eastAsia="Calibri"/>
          <w:b/>
          <w:szCs w:val="18"/>
        </w:rPr>
      </w:r>
    </w:p>
    <w:p>
      <w:pPr>
        <w:pStyle w:val="Normal"/>
        <w:spacing w:lineRule="auto" w:line="276"/>
        <w:ind w:left="0" w:hanging="0"/>
        <w:jc w:val="both"/>
        <w:rPr>
          <w:szCs w:val="24"/>
        </w:rPr>
      </w:pPr>
      <w:r>
        <w:rPr>
          <w:szCs w:val="24"/>
        </w:rPr>
        <w:t>1. Do oferty każdy wykonawca musi dołączyć:</w:t>
      </w:r>
    </w:p>
    <w:p>
      <w:pPr>
        <w:pStyle w:val="Normal"/>
        <w:spacing w:lineRule="auto" w:line="276"/>
        <w:ind w:left="0" w:hanging="0"/>
        <w:jc w:val="both"/>
        <w:rPr>
          <w:sz w:val="12"/>
          <w:szCs w:val="24"/>
        </w:rPr>
      </w:pPr>
      <w:r>
        <w:rPr>
          <w:sz w:val="12"/>
          <w:szCs w:val="24"/>
        </w:rPr>
      </w:r>
    </w:p>
    <w:p>
      <w:pPr>
        <w:pStyle w:val="Normal"/>
        <w:spacing w:lineRule="auto" w:line="276" w:before="0" w:after="120"/>
        <w:ind w:left="0" w:hanging="0"/>
        <w:jc w:val="both"/>
        <w:rPr>
          <w:szCs w:val="24"/>
        </w:rPr>
      </w:pPr>
      <w:r>
        <w:rPr>
          <w:szCs w:val="24"/>
        </w:rPr>
        <w:t xml:space="preserve">1) aktualne na dzień składania ofert oświadczenie o braku podstaw do wykluczenia – </w:t>
      </w:r>
      <w:r>
        <w:rPr>
          <w:b/>
          <w:bCs/>
          <w:szCs w:val="24"/>
        </w:rPr>
        <w:t xml:space="preserve">zał. nr 1a do SIWZ. </w:t>
      </w:r>
      <w:r>
        <w:rPr>
          <w:szCs w:val="24"/>
        </w:rPr>
        <w:t>Informacje zawarte w oświadczeniu będą stanowić wstępne potwierdzenie, że wykonawca nie podlega wykluczeniu;</w:t>
      </w:r>
    </w:p>
    <w:p>
      <w:pPr>
        <w:pStyle w:val="Normal"/>
        <w:spacing w:lineRule="auto" w:line="276" w:before="0" w:after="120"/>
        <w:ind w:left="0" w:hanging="0"/>
        <w:jc w:val="both"/>
        <w:rPr>
          <w:szCs w:val="24"/>
        </w:rPr>
      </w:pPr>
      <w:r>
        <w:rPr>
          <w:szCs w:val="24"/>
        </w:rPr>
        <w:t xml:space="preserve">2) aktualne na dzień składania ofert oświadczenie o spełnianiu warunków udziału w postępowaniu – </w:t>
        <w:br/>
      </w:r>
      <w:r>
        <w:rPr>
          <w:b/>
          <w:bCs/>
          <w:szCs w:val="24"/>
        </w:rPr>
        <w:t xml:space="preserve">zał. nr 1b do SIWZ. </w:t>
      </w:r>
      <w:r>
        <w:rPr>
          <w:szCs w:val="24"/>
        </w:rPr>
        <w:t>Informacje zawarte w oświadczeniu będą stanowić wstępne potwierdzenie, że wykonawca spełnia warunki udziału w postępowaniu;</w:t>
      </w:r>
    </w:p>
    <w:p>
      <w:pPr>
        <w:pStyle w:val="Normal"/>
        <w:spacing w:lineRule="auto" w:line="276" w:before="0" w:after="120"/>
        <w:ind w:left="0" w:hanging="0"/>
        <w:jc w:val="both"/>
        <w:rPr>
          <w:i/>
          <w:i/>
          <w:szCs w:val="24"/>
        </w:rPr>
      </w:pPr>
      <w:r>
        <w:rPr>
          <w:i/>
          <w:szCs w:val="24"/>
        </w:rPr>
        <w:t xml:space="preserve">UWAGA: W przypadku wykonawców wspólnie ubiegających się o udzielenie zamówienia oświadczenia </w:t>
        <w:br/>
        <w:t>o których mowa w ust. 1 pkt 1 i 2 składa każdy z wykonawców osobno.</w:t>
      </w:r>
    </w:p>
    <w:p>
      <w:pPr>
        <w:pStyle w:val="Normal"/>
        <w:spacing w:lineRule="auto" w:line="276" w:before="0" w:after="120"/>
        <w:ind w:left="0" w:hanging="0"/>
        <w:jc w:val="both"/>
        <w:rPr>
          <w:szCs w:val="24"/>
        </w:rPr>
      </w:pPr>
      <w:r>
        <w:rPr>
          <w:szCs w:val="24"/>
        </w:rPr>
        <w:t xml:space="preserve">3) pełnomocnictwo lub inny dokument określający zakres umocowania do reprezentowania Wykonawcy, o ile ofertę składa pełnomocnik Wykonawcy - pełnomocnictwo zgodnie z działem VI rozdział II ustawy z dnia 23 kwietnia 1964 r. - </w:t>
      </w:r>
      <w:r>
        <w:rPr>
          <w:i/>
          <w:iCs/>
          <w:szCs w:val="24"/>
        </w:rPr>
        <w:t xml:space="preserve">Kodeks cywilny </w:t>
      </w:r>
      <w:r>
        <w:rPr>
          <w:szCs w:val="24"/>
        </w:rPr>
        <w:t>(Dz. U. Nr 16, poz. 93 z późn. zm.) winno być złożone w formie oryginału lub kopii poświadczonej notarialnie.</w:t>
      </w:r>
    </w:p>
    <w:p>
      <w:pPr>
        <w:pStyle w:val="Normal"/>
        <w:spacing w:lineRule="auto" w:line="276" w:before="0" w:after="120"/>
        <w:ind w:left="0" w:hanging="0"/>
        <w:jc w:val="both"/>
        <w:rPr>
          <w:szCs w:val="24"/>
        </w:rPr>
      </w:pPr>
      <w:r>
        <w:rPr>
          <w:szCs w:val="24"/>
        </w:rPr>
        <w:t xml:space="preserve">2. Wykonawca, który powołuje się na zasoby innych podmiotów, w celu wykazania braku istnienia wobec nich podstaw wykluczenia oraz spełnienia – w zakresie, w jakim powołuje się na ich zasoby - warunków udziału w postępowaniu </w:t>
      </w:r>
      <w:r>
        <w:rPr>
          <w:b/>
          <w:szCs w:val="24"/>
        </w:rPr>
        <w:t>składa także oświadczenie, o którym mowa w ust. 1 pkt 1 i 2 dotyczące tych podmiotów</w:t>
      </w:r>
      <w:r>
        <w:rPr>
          <w:szCs w:val="24"/>
        </w:rPr>
        <w:t>.</w:t>
      </w:r>
    </w:p>
    <w:p>
      <w:pPr>
        <w:pStyle w:val="Normal"/>
        <w:spacing w:lineRule="auto" w:line="276" w:before="0" w:after="120"/>
        <w:ind w:left="0" w:hanging="0"/>
        <w:jc w:val="both"/>
        <w:rPr>
          <w:szCs w:val="24"/>
        </w:rPr>
      </w:pPr>
      <w:r>
        <w:rPr>
          <w:szCs w:val="24"/>
        </w:rPr>
        <w:t xml:space="preserve">3. W przypadku o którym mowa w ust. 2 Wykonawca winien dołączyć do oferty zobowiązanie podmiotu trzeciego – </w:t>
      </w:r>
      <w:r>
        <w:rPr>
          <w:b/>
          <w:szCs w:val="24"/>
        </w:rPr>
        <w:t>zał. nr 3 do SIWZ</w:t>
      </w:r>
      <w:r>
        <w:rPr>
          <w:szCs w:val="24"/>
        </w:rPr>
        <w:t>.</w:t>
      </w:r>
    </w:p>
    <w:p>
      <w:pPr>
        <w:pStyle w:val="Normal"/>
        <w:spacing w:lineRule="auto" w:line="276" w:before="0" w:after="120"/>
        <w:ind w:left="0" w:hanging="0"/>
        <w:jc w:val="both"/>
        <w:rPr>
          <w:szCs w:val="24"/>
        </w:rPr>
      </w:pPr>
      <w:r>
        <w:rPr>
          <w:szCs w:val="24"/>
        </w:rPr>
        <w:t xml:space="preserve">4. Zamawiający przed udzieleniem zamówienia, </w:t>
      </w:r>
      <w:r>
        <w:rPr>
          <w:b/>
          <w:bCs/>
          <w:szCs w:val="24"/>
        </w:rPr>
        <w:t xml:space="preserve">wezwie </w:t>
      </w:r>
      <w:r>
        <w:rPr>
          <w:szCs w:val="24"/>
        </w:rPr>
        <w:t>Wykonawcę, którego oferta zostanie najwyżej oceniona, do złożenia w wyznaczonym, nie krótszym niż 5 dni, terminie aktualnych na dzień złożenia oświadczeń i dokumentów:</w:t>
      </w:r>
    </w:p>
    <w:p>
      <w:pPr>
        <w:pStyle w:val="Normal"/>
        <w:spacing w:lineRule="auto" w:line="276" w:before="0" w:after="120"/>
        <w:ind w:left="0" w:hanging="0"/>
        <w:jc w:val="both"/>
        <w:rPr>
          <w:szCs w:val="24"/>
        </w:rPr>
      </w:pPr>
      <w:r>
        <w:rPr>
          <w:szCs w:val="24"/>
        </w:rPr>
        <w:t>1) odpis z właściwego rejestru lub z centralnej ewidencji i informacji o działalności gospodarczej, jeżeli odrębne przepisy wymagają wpisu do rejestru lub ewidencji, w celu potwierdzenia braku podstaw wykluczenia na podstawie art. 24 ust. 5 pkt 1 ustawyPzp;</w:t>
      </w:r>
    </w:p>
    <w:p>
      <w:pPr>
        <w:pStyle w:val="Normal"/>
        <w:spacing w:lineRule="auto" w:line="276" w:before="0" w:after="120"/>
        <w:ind w:left="0" w:hanging="0"/>
        <w:jc w:val="both"/>
        <w:rPr>
          <w:szCs w:val="24"/>
        </w:rPr>
      </w:pPr>
      <w:r>
        <w:rPr>
          <w:szCs w:val="24"/>
        </w:rPr>
        <w:t xml:space="preserve">2) zaświadczenia właściwego naczelnika urzędu skarbowego potwierdzającego, że wykonawca nie zalega </w:t>
        <w:br/>
        <w:t xml:space="preserve">z opłacaniem podatków, </w:t>
      </w:r>
      <w:r>
        <w:rPr>
          <w:b/>
          <w:bCs/>
          <w:szCs w:val="24"/>
        </w:rPr>
        <w:t xml:space="preserve">wystawionego nie wcześniej niż 3 miesiące przed upływem terminu składania ofert </w:t>
      </w:r>
      <w:r>
        <w:rPr>
          <w:szCs w:val="24"/>
        </w:rPr>
        <w:t xml:space="preserve">lub innego dokumentu potwierdzającego, że wykonawca zawarł porozumienie z właściwym organem podatkowym w sprawie spłat tych należności wraz z ewentualnymi odsetkami lub grzywnami, </w:t>
        <w:br/>
        <w:t>w szczególności uzyskał przewidziane prawem zwolnienie, odroczenie lub rozłożenie na raty zaległych płatności lub wstrzymanie w całości wykonania decyzji właściwego organu;</w:t>
      </w:r>
    </w:p>
    <w:p>
      <w:pPr>
        <w:pStyle w:val="Normal"/>
        <w:spacing w:lineRule="auto" w:line="276" w:before="0" w:after="120"/>
        <w:ind w:left="0" w:hanging="0"/>
        <w:jc w:val="both"/>
        <w:rPr>
          <w:szCs w:val="24"/>
        </w:rPr>
      </w:pPr>
      <w:r>
        <w:rPr>
          <w:szCs w:val="24"/>
        </w:rPr>
        <w:t xml:space="preserve">3) zaświadczenia właściwej terenowej jednostki organizacyjnej Zakładu Ubezpieczeń Społecznych lub Kasy Rolniczego Ubezpieczenia Społecznego albo innego dokumentu potwierdzającego, że wykonawca nie zalega z opłacaniem składek na ubezpieczenia społeczne lub zdrowotne, </w:t>
      </w:r>
      <w:r>
        <w:rPr>
          <w:b/>
          <w:bCs/>
          <w:szCs w:val="24"/>
        </w:rPr>
        <w:t xml:space="preserve">wystawionego nie wcześniej niż 3 miesiące przed upływem terminu składania ofert </w:t>
      </w:r>
      <w:r>
        <w:rPr>
          <w:szCs w:val="24"/>
        </w:rPr>
        <w:t xml:space="preserve">lub innego dokumentu potwierdzającego, </w:t>
        <w:br/>
        <w:t xml:space="preserve">że wykonawca zawarł porozumienie z właściwym organem w sprawie spłat tych należności wraz </w:t>
        <w:br/>
        <w:t>z ewentualnymi odsetkami lub grzywnami, w szczególności uzyskał przewidziane prawem zwolnienie, odroczenie lub rozłożenie na raty zaległych płatności lub wstrzymanie w całości wykonania decyzji właściwego organu;</w:t>
      </w:r>
    </w:p>
    <w:p>
      <w:pPr>
        <w:pStyle w:val="Normal"/>
        <w:spacing w:lineRule="auto" w:line="276" w:before="0" w:after="120"/>
        <w:ind w:left="0" w:hanging="0"/>
        <w:jc w:val="both"/>
        <w:rPr>
          <w:bCs/>
          <w:i/>
          <w:i/>
          <w:szCs w:val="24"/>
        </w:rPr>
      </w:pPr>
      <w:r>
        <w:rPr>
          <w:bCs/>
          <w:i/>
          <w:szCs w:val="24"/>
        </w:rPr>
        <w:t>Uwaga dotyczy spółki cywilnej: do oferty składanej przez spółkę cywilną dołączyć należy zaświadczenia z US i ZUS wystawione dla spółki i każdego wspólnika spółki cywilnej osobno.</w:t>
      </w:r>
    </w:p>
    <w:p>
      <w:pPr>
        <w:pStyle w:val="Normal"/>
        <w:spacing w:lineRule="auto" w:line="276" w:before="0" w:after="120"/>
        <w:ind w:left="0" w:hanging="0"/>
        <w:jc w:val="both"/>
        <w:rPr>
          <w:szCs w:val="24"/>
        </w:rPr>
      </w:pPr>
      <w:r>
        <w:rPr>
          <w:szCs w:val="24"/>
        </w:rPr>
        <w:t xml:space="preserve">4) wykazu robót budowlanych wykonanych nie wcześniej niż w okresie ostatnich 5 lat przed upływem terminu składania ofert, a jeżeli okres prowadzenia działalności jest krótszy – w tym okresie, wraz </w:t>
        <w:br/>
        <w:t xml:space="preserve">z podaniem ich rodzaju, wartości, daty, miejsca wykonania i podmiotów, na rzecz których roboty te zostały wykonane, z załączeniem dowodów określających czy te roboty budowlane zostały wykonane należycie, </w:t>
        <w:br/>
        <w:t xml:space="preserve">w szczególności informacji o tym czy roboty zostały wykonane zgodnie z przepisami prawa budowlanego </w:t>
        <w:br/>
        <w:t xml:space="preserve">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w:t>
      </w:r>
      <w:r>
        <w:rPr>
          <w:b/>
          <w:bCs/>
          <w:iCs/>
          <w:szCs w:val="24"/>
        </w:rPr>
        <w:t>zał. nr 1c do SIWZ</w:t>
      </w:r>
      <w:r>
        <w:rPr>
          <w:szCs w:val="24"/>
        </w:rPr>
        <w:t>;</w:t>
      </w:r>
    </w:p>
    <w:p>
      <w:pPr>
        <w:pStyle w:val="Normal"/>
        <w:spacing w:lineRule="auto" w:line="276" w:before="0" w:after="120"/>
        <w:ind w:left="0" w:hanging="0"/>
        <w:jc w:val="both"/>
        <w:rPr>
          <w:szCs w:val="24"/>
        </w:rPr>
      </w:pPr>
      <w:r>
        <w:rPr>
          <w:szCs w:val="24"/>
        </w:rPr>
        <w:t xml:space="preserve">5) wykazu osób, skierowanych przez wykonawcę do realizacji zamówienia publicznego, w szczególności odpowiedzialnych za świadczenie usług, kontrolę jakości lub kierowanie robotami budowlanymi, wraz </w:t>
        <w:br/>
        <w:t xml:space="preserve">z informacjami na temat ich kwalifikacji zawodowych, uprawnień, doświadczenia i wykształcenia niezbędnych do wykonania zamówienia publicznego, a także zakresu wykonywanych przez nie czynności oraz informacją o podstawie do dysponowania tymi osobami – </w:t>
      </w:r>
      <w:r>
        <w:rPr>
          <w:b/>
          <w:bCs/>
          <w:iCs/>
          <w:szCs w:val="24"/>
        </w:rPr>
        <w:t>zał.nr 1d do SIWZ</w:t>
      </w:r>
      <w:r>
        <w:rPr>
          <w:szCs w:val="24"/>
        </w:rPr>
        <w:t>;</w:t>
      </w:r>
    </w:p>
    <w:p>
      <w:pPr>
        <w:pStyle w:val="Normal"/>
        <w:spacing w:lineRule="auto" w:line="276" w:before="0" w:after="120"/>
        <w:ind w:left="0" w:hanging="0"/>
        <w:jc w:val="both"/>
        <w:rPr>
          <w:szCs w:val="24"/>
        </w:rPr>
      </w:pPr>
      <w:r>
        <w:rPr>
          <w:szCs w:val="24"/>
        </w:rPr>
        <w:t xml:space="preserve">5. Jeżeli Wykonawca, wskazując spełnienie warunków, o których mowa w art. 22 ust. 1 ustawy polega na zasobach innych podmiotów na zasadach określonych w art. 22a ustawy Wykonawca, o którym mowa </w:t>
        <w:br/>
        <w:t xml:space="preserve">w ust. 2 przedstawi w odniesieniu do tych podmiotów </w:t>
      </w:r>
      <w:r>
        <w:rPr>
          <w:b/>
          <w:bCs/>
          <w:szCs w:val="24"/>
        </w:rPr>
        <w:t>dokumenty o których mowa w ust. 4 pkt 1-5.</w:t>
      </w:r>
    </w:p>
    <w:p>
      <w:pPr>
        <w:pStyle w:val="Normal"/>
        <w:spacing w:lineRule="auto" w:line="276" w:before="0" w:after="120"/>
        <w:ind w:left="0" w:hanging="0"/>
        <w:jc w:val="both"/>
        <w:rPr>
          <w:szCs w:val="24"/>
        </w:rPr>
      </w:pPr>
      <w:r>
        <w:rPr>
          <w:szCs w:val="24"/>
        </w:rPr>
        <w:t>6. Jeżeli Wykonawca ma siedzibę lub miejsce zamieszkania poza terytorium Rzeczypospolitej Polskiej zamiast dokumentów, o których mowa w ust.4 pkt 1-3 - składa dokument lub dokumenty wystawione</w:t>
        <w:br/>
        <w:t>w kraju, w którym wykonawca ma siedzibę lub miejsce zamieszkania, potwierdzająco odpowiednio, że:</w:t>
      </w:r>
    </w:p>
    <w:p>
      <w:pPr>
        <w:pStyle w:val="Normal"/>
        <w:spacing w:lineRule="auto" w:line="276" w:before="0" w:after="120"/>
        <w:ind w:left="0" w:hanging="0"/>
        <w:jc w:val="both"/>
        <w:rPr>
          <w:szCs w:val="24"/>
        </w:rPr>
      </w:pPr>
      <w:r>
        <w:rPr>
          <w:szCs w:val="24"/>
        </w:rPr>
        <w:t>1)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pPr>
        <w:pStyle w:val="Normal"/>
        <w:spacing w:lineRule="auto" w:line="276" w:before="0" w:after="120"/>
        <w:ind w:left="0" w:hanging="0"/>
        <w:jc w:val="both"/>
        <w:rPr>
          <w:szCs w:val="24"/>
        </w:rPr>
      </w:pPr>
      <w:r>
        <w:rPr>
          <w:szCs w:val="24"/>
        </w:rPr>
        <w:t>2) nie otwarto jego likwidacji ani nie ogłoszono upadłości.</w:t>
      </w:r>
    </w:p>
    <w:p>
      <w:pPr>
        <w:pStyle w:val="Normal"/>
        <w:spacing w:lineRule="auto" w:line="276" w:before="0" w:after="120"/>
        <w:ind w:left="0" w:hanging="0"/>
        <w:jc w:val="both"/>
        <w:rPr>
          <w:szCs w:val="24"/>
        </w:rPr>
      </w:pPr>
      <w:r>
        <w:rPr>
          <w:szCs w:val="24"/>
        </w:rPr>
        <w:t>7. Dokumenty, o których mowa w ust. 6 pkt 2, powinny być wystawione nie wcześniej niż 6 miesięcy przed upływem terminu składania ofert. Dokumenty, o których mowa w ust. 6 pkt 1powinny być wystawione nie wcześniej niż 3 miesiące przed upływem terminu składania ofert.</w:t>
      </w:r>
    </w:p>
    <w:p>
      <w:pPr>
        <w:pStyle w:val="Normal"/>
        <w:spacing w:lineRule="auto" w:line="276" w:before="0" w:after="120"/>
        <w:ind w:left="0" w:hanging="0"/>
        <w:jc w:val="both"/>
        <w:rPr>
          <w:szCs w:val="24"/>
        </w:rPr>
      </w:pPr>
      <w:r>
        <w:rPr>
          <w:szCs w:val="24"/>
        </w:rPr>
        <w:t>8. Jeżeli w kraju, w którym wykonawca ma siedzibę lub miejsce zamieszkania lub miejsce zamieszkania ma osoba, której dokument dotyczy, nie wydaje się dokumentów, o których mowa w ust. 6,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ust. 7 stosuje się odpowiednio.</w:t>
      </w:r>
    </w:p>
    <w:p>
      <w:pPr>
        <w:pStyle w:val="Normal"/>
        <w:spacing w:lineRule="auto" w:line="276" w:before="0" w:after="120"/>
        <w:ind w:left="0" w:hanging="0"/>
        <w:jc w:val="both"/>
        <w:rPr>
          <w:szCs w:val="24"/>
        </w:rPr>
      </w:pPr>
      <w:r>
        <w:rPr>
          <w:szCs w:val="24"/>
        </w:rPr>
        <w:t>9. W przypadku wątpliwości co do treści dokumentu złożonego przez wykonawcę, zamawiający może zwrócić się do właściwych organów odpowiedniego kraju, w którym wykonawca ma siedzibę lub miejsce zamieszkania lub miejsce zamieszkania ma osoba, której dokument dotyczy, o udzielenie niezbędnych informacji dotyczących tego dokumentu.</w:t>
      </w:r>
    </w:p>
    <w:p>
      <w:pPr>
        <w:pStyle w:val="Normal"/>
        <w:spacing w:lineRule="auto" w:line="276" w:before="0" w:after="120"/>
        <w:ind w:left="0" w:hanging="0"/>
        <w:jc w:val="both"/>
        <w:rPr>
          <w:szCs w:val="24"/>
        </w:rPr>
      </w:pPr>
      <w:r>
        <w:rPr>
          <w:szCs w:val="24"/>
        </w:rPr>
        <w:t xml:space="preserve">10. Na podstawie art. 26 ust. 6 ustawy Wykonawca nie jest obowiązany do złożenia oświadczeń lub dokumentów potwierdzających okoliczności, o których mowa w art. 25 ust. 1 pkt. 1 i 3, jeżeli zamawiający posiada oświadczenia lub dokumenty dotyczące tego wykonawcy lub może je uzyskać za pomocą bezpłatnych i ogólnodostępnych baz danych, w szczególności rejestrów publicznych w rozumieniu ustawy </w:t>
        <w:br/>
        <w:t>z dnia 17 lutego 2005 r. o informatyzacji działalności podmiotów realizujących zadania publiczne.</w:t>
      </w:r>
    </w:p>
    <w:p>
      <w:pPr>
        <w:pStyle w:val="Normal"/>
        <w:spacing w:lineRule="auto" w:line="276" w:before="0" w:after="120"/>
        <w:ind w:left="0" w:hanging="0"/>
        <w:jc w:val="both"/>
        <w:rPr>
          <w:szCs w:val="24"/>
        </w:rPr>
      </w:pPr>
      <w:r>
        <w:rPr>
          <w:szCs w:val="24"/>
        </w:rPr>
        <w:t xml:space="preserve">11. Jeżeli jest to niezbędne do zapewnienia prawidłowego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w:t>
        <w:br/>
        <w:t>że złożone uprzednio oświadczenia lub dokumenty nie są już aktualne, do złożenia aktualnych oświadczeń lub dokumentów.</w:t>
      </w:r>
    </w:p>
    <w:p>
      <w:pPr>
        <w:pStyle w:val="Normal"/>
        <w:spacing w:lineRule="auto" w:line="276" w:before="0" w:after="120"/>
        <w:ind w:left="0" w:hanging="0"/>
        <w:jc w:val="both"/>
        <w:rPr>
          <w:b/>
          <w:b/>
          <w:bCs/>
          <w:szCs w:val="24"/>
        </w:rPr>
      </w:pPr>
      <w:r>
        <w:rPr>
          <w:szCs w:val="24"/>
        </w:rPr>
        <w:t xml:space="preserve">12. Wykonawca </w:t>
      </w:r>
      <w:r>
        <w:rPr>
          <w:b/>
          <w:bCs/>
          <w:szCs w:val="24"/>
        </w:rPr>
        <w:t>w terminie 3 dni od dnia zamieszczenia na stronie internetowej informacji, o której mowa w art. 86 ust. 5 ustawy Pzp</w:t>
      </w:r>
      <w:r>
        <w:rPr>
          <w:szCs w:val="24"/>
        </w:rPr>
        <w:t xml:space="preserve">, przekaże Zamawiającemu </w:t>
      </w:r>
      <w:r>
        <w:rPr>
          <w:b/>
          <w:bCs/>
          <w:szCs w:val="24"/>
        </w:rPr>
        <w:t>oświadczenie o przynależności lub braku przynależności do tej samej grupy kapitałowej, o której mowa w art. 24 ust. 1 pkt. 23 ustawy Pzp</w:t>
      </w:r>
      <w:r>
        <w:rPr>
          <w:szCs w:val="24"/>
        </w:rPr>
        <w:t>. Wraz ze złożeniem oświadczenia (</w:t>
      </w:r>
      <w:r>
        <w:rPr>
          <w:b/>
          <w:szCs w:val="24"/>
        </w:rPr>
        <w:t>zał. nr 1e do SIWZ</w:t>
      </w:r>
      <w:r>
        <w:rPr>
          <w:szCs w:val="24"/>
        </w:rPr>
        <w:t xml:space="preserve">) Wykonawca może przedstawić dowody, </w:t>
        <w:br/>
        <w:t>że powiązania z innym wykonawcą nie prowadzą do zakłócenia konkurencji w postępowaniu o udzielenie zamówienia.</w:t>
      </w:r>
    </w:p>
    <w:p>
      <w:pPr>
        <w:pStyle w:val="Normal"/>
        <w:spacing w:lineRule="auto" w:line="276" w:before="0" w:after="120"/>
        <w:ind w:left="0" w:hanging="0"/>
        <w:jc w:val="both"/>
        <w:rPr>
          <w:szCs w:val="24"/>
        </w:rPr>
      </w:pPr>
      <w:r>
        <w:rPr>
          <w:szCs w:val="24"/>
        </w:rPr>
        <w:t>13. Wyżej wymienione dokumenty mogą być złożone w formie oryginałów lub kserokopii potwierdzonych za zgodność przez Wykonawcę z dopiskiem "za zgodność z oryginałem" i opatrzone datą ich potwierdzenia natomiast oświadczenia woli winny zostać złożone w formie oryginału. Dokumenty sporządzone w języku obcym są składane wraz z tłumaczeniem na język polski, poświadczonym przez Wykonawcę.</w:t>
      </w:r>
    </w:p>
    <w:p>
      <w:pPr>
        <w:pStyle w:val="Normal"/>
        <w:spacing w:lineRule="auto" w:line="276" w:before="0" w:after="120"/>
        <w:ind w:left="0" w:hanging="0"/>
        <w:jc w:val="both"/>
        <w:rPr>
          <w:sz w:val="12"/>
          <w:szCs w:val="24"/>
        </w:rPr>
      </w:pPr>
      <w:r>
        <w:rPr>
          <w:sz w:val="12"/>
          <w:szCs w:val="24"/>
        </w:rPr>
      </w:r>
    </w:p>
    <w:p>
      <w:pPr>
        <w:pStyle w:val="Normal"/>
        <w:spacing w:lineRule="auto" w:line="276" w:before="0" w:after="120"/>
        <w:ind w:left="0" w:hanging="0"/>
        <w:jc w:val="both"/>
        <w:rPr>
          <w:sz w:val="12"/>
          <w:szCs w:val="24"/>
        </w:rPr>
      </w:pPr>
      <w:r>
        <w:rPr>
          <w:sz w:val="12"/>
          <w:szCs w:val="24"/>
        </w:rPr>
      </w:r>
    </w:p>
    <w:p>
      <w:pPr>
        <w:pStyle w:val="Normal"/>
        <w:spacing w:lineRule="auto" w:line="276" w:before="0" w:after="120"/>
        <w:ind w:left="0" w:hanging="0"/>
        <w:jc w:val="both"/>
        <w:rPr>
          <w:sz w:val="12"/>
          <w:szCs w:val="24"/>
        </w:rPr>
      </w:pPr>
      <w:r>
        <w:rPr>
          <w:sz w:val="12"/>
          <w:szCs w:val="24"/>
        </w:rPr>
      </w:r>
    </w:p>
    <w:p>
      <w:pPr>
        <w:pStyle w:val="Artyku"/>
        <w:numPr>
          <w:ilvl w:val="0"/>
          <w:numId w:val="1"/>
        </w:numPr>
        <w:rPr/>
      </w:pPr>
      <w:bookmarkStart w:id="9" w:name="_Toc496698270"/>
      <w:r>
        <w:rPr/>
        <w:t xml:space="preserve">Informacja o sposobie porozumiewania się zamawiającego z wykonawcami oraz przekazywania oświadczeń i dokumentów oraz osoby uprawnione do porozumiewania się </w:t>
        <w:br/>
        <w:t>z wykonawcami</w:t>
      </w:r>
      <w:bookmarkEnd w:id="9"/>
    </w:p>
    <w:p>
      <w:pPr>
        <w:pStyle w:val="Normal"/>
        <w:spacing w:lineRule="auto" w:line="252"/>
        <w:ind w:left="0" w:hanging="0"/>
        <w:jc w:val="both"/>
        <w:rPr>
          <w:rFonts w:eastAsia="Calibri"/>
          <w:b/>
          <w:b/>
          <w:bCs/>
          <w:szCs w:val="18"/>
        </w:rPr>
      </w:pPr>
      <w:r>
        <w:rPr>
          <w:rFonts w:eastAsia="Calibri"/>
          <w:b/>
          <w:bCs/>
          <w:szCs w:val="18"/>
        </w:rPr>
      </w:r>
    </w:p>
    <w:p>
      <w:pPr>
        <w:pStyle w:val="Normal"/>
        <w:spacing w:lineRule="auto" w:line="276"/>
        <w:ind w:left="0" w:hanging="0"/>
        <w:jc w:val="both"/>
        <w:rPr>
          <w:szCs w:val="24"/>
        </w:rPr>
      </w:pPr>
      <w:r>
        <w:rPr>
          <w:szCs w:val="24"/>
        </w:rPr>
        <w:t xml:space="preserve">1. W postępowaniu o udzielenie zamówienia oświadczenia, wnioski, zawiadomienia oraz informacje Zamawiający i Wykonawcy przekazują pisemnie na adres Zamawiającego. </w:t>
      </w:r>
      <w:r>
        <w:rPr>
          <w:rFonts w:eastAsia="Calibri"/>
          <w:szCs w:val="18"/>
        </w:rPr>
        <w:t>Pytania i wszelka korespondencja powinna być skierowane na adres siedziby Zamawiającego</w:t>
      </w:r>
      <w:r>
        <w:rPr>
          <w:szCs w:val="24"/>
        </w:rPr>
        <w:t xml:space="preserve">. Zamawiający dopuszcza porozumiewanie się faksem pod numerem </w:t>
      </w:r>
      <w:r>
        <w:rPr>
          <w:b/>
          <w:bCs/>
          <w:szCs w:val="24"/>
        </w:rPr>
        <w:t xml:space="preserve">(61) 438 30 51 </w:t>
      </w:r>
      <w:r>
        <w:rPr>
          <w:szCs w:val="24"/>
        </w:rPr>
        <w:t>lub drogą elektroniczną</w:t>
      </w:r>
      <w:r>
        <w:rPr>
          <w:rFonts w:eastAsia="Times New Roman"/>
          <w:szCs w:val="24"/>
          <w:lang w:eastAsia="zh-CN"/>
        </w:rPr>
        <w:t xml:space="preserve">: </w:t>
      </w:r>
      <w:hyperlink r:id="rId4">
        <w:r>
          <w:rPr>
            <w:rStyle w:val="Czeinternetowe"/>
            <w:rFonts w:eastAsia="Times New Roman"/>
            <w:b/>
            <w:color w:val="000000"/>
            <w:szCs w:val="24"/>
            <w:u w:val="none"/>
            <w:lang w:eastAsia="zh-CN"/>
          </w:rPr>
          <w:t>przetargi@miloslaw.info.pl</w:t>
        </w:r>
      </w:hyperlink>
    </w:p>
    <w:p>
      <w:pPr>
        <w:pStyle w:val="Normal"/>
        <w:ind w:left="0" w:hanging="0"/>
        <w:jc w:val="both"/>
        <w:rPr>
          <w:sz w:val="14"/>
          <w:szCs w:val="24"/>
        </w:rPr>
      </w:pPr>
      <w:r>
        <w:rPr>
          <w:sz w:val="14"/>
          <w:szCs w:val="24"/>
        </w:rPr>
      </w:r>
    </w:p>
    <w:p>
      <w:pPr>
        <w:pStyle w:val="Normal"/>
        <w:spacing w:lineRule="auto" w:line="276"/>
        <w:ind w:left="0" w:hanging="0"/>
        <w:jc w:val="both"/>
        <w:rPr>
          <w:rFonts w:eastAsia="Calibri"/>
          <w:szCs w:val="18"/>
        </w:rPr>
      </w:pPr>
      <w:r>
        <w:rPr>
          <w:szCs w:val="24"/>
        </w:rPr>
        <w:t xml:space="preserve">2. </w:t>
      </w:r>
      <w:r>
        <w:rPr>
          <w:rFonts w:eastAsia="Calibri"/>
          <w:szCs w:val="18"/>
        </w:rPr>
        <w:t>Osobami ze strony zamawiającego upoważnionymi do kontaktowania się z wykonawcami są:</w:t>
      </w:r>
    </w:p>
    <w:p>
      <w:pPr>
        <w:pStyle w:val="Normal"/>
        <w:spacing w:lineRule="auto" w:line="276"/>
        <w:ind w:left="284" w:hanging="0"/>
        <w:jc w:val="both"/>
        <w:rPr>
          <w:rFonts w:eastAsia="Calibri"/>
          <w:szCs w:val="18"/>
        </w:rPr>
      </w:pPr>
      <w:r>
        <w:rPr>
          <w:rFonts w:eastAsia="Calibri"/>
          <w:szCs w:val="18"/>
        </w:rPr>
        <w:t xml:space="preserve">- sprawy merytoryczne – Błażej Pera (61) 438 37 37 </w:t>
      </w:r>
    </w:p>
    <w:p>
      <w:pPr>
        <w:pStyle w:val="Normal"/>
        <w:spacing w:lineRule="auto" w:line="276"/>
        <w:ind w:left="284" w:hanging="0"/>
        <w:jc w:val="both"/>
        <w:rPr/>
      </w:pPr>
      <w:r>
        <w:rPr>
          <w:rFonts w:eastAsia="Calibri"/>
          <w:szCs w:val="18"/>
        </w:rPr>
        <w:t>- sprawy proceduralne –  Stefania Przybylska</w:t>
      </w:r>
      <w:r>
        <w:rPr>
          <w:rFonts w:eastAsia="Calibri"/>
          <w:color w:val="CE181E"/>
          <w:szCs w:val="18"/>
        </w:rPr>
        <w:t xml:space="preserve"> </w:t>
      </w:r>
      <w:r>
        <w:rPr>
          <w:rFonts w:eastAsia="Calibri"/>
          <w:color w:val="000000"/>
          <w:szCs w:val="18"/>
        </w:rPr>
        <w:t>(61) 438 37 29</w:t>
      </w:r>
    </w:p>
    <w:p>
      <w:pPr>
        <w:pStyle w:val="Normal"/>
        <w:spacing w:lineRule="auto" w:line="276"/>
        <w:ind w:left="0" w:hanging="0"/>
        <w:jc w:val="both"/>
        <w:rPr>
          <w:rFonts w:eastAsia="Calibri"/>
          <w:color w:val="FF0000"/>
          <w:sz w:val="14"/>
          <w:szCs w:val="18"/>
        </w:rPr>
      </w:pPr>
      <w:r>
        <w:rPr>
          <w:rFonts w:eastAsia="Calibri"/>
          <w:color w:val="FF0000"/>
          <w:sz w:val="14"/>
          <w:szCs w:val="18"/>
        </w:rPr>
      </w:r>
    </w:p>
    <w:p>
      <w:pPr>
        <w:pStyle w:val="Normal"/>
        <w:spacing w:lineRule="auto" w:line="276"/>
        <w:ind w:left="0" w:hanging="0"/>
        <w:jc w:val="both"/>
        <w:rPr>
          <w:rFonts w:eastAsia="Calibri"/>
          <w:color w:val="FF0000"/>
          <w:szCs w:val="18"/>
        </w:rPr>
      </w:pPr>
      <w:r>
        <w:rPr>
          <w:szCs w:val="24"/>
        </w:rPr>
        <w:t xml:space="preserve">3. Wykonawca na podstawie art. 38 ustawy może zwrócić się do Zamawiającego o wyjaśnienie treści specyfikacji istotnych warunków zamówienia. </w:t>
      </w:r>
    </w:p>
    <w:p>
      <w:pPr>
        <w:pStyle w:val="Normal"/>
        <w:spacing w:lineRule="auto" w:line="276"/>
        <w:ind w:left="0" w:hanging="0"/>
        <w:jc w:val="both"/>
        <w:rPr>
          <w:sz w:val="14"/>
          <w:szCs w:val="24"/>
        </w:rPr>
      </w:pPr>
      <w:r>
        <w:rPr>
          <w:sz w:val="14"/>
          <w:szCs w:val="24"/>
        </w:rPr>
      </w:r>
    </w:p>
    <w:p>
      <w:pPr>
        <w:pStyle w:val="Normal"/>
        <w:spacing w:lineRule="auto" w:line="276"/>
        <w:ind w:left="0" w:hanging="0"/>
        <w:jc w:val="both"/>
        <w:rPr>
          <w:szCs w:val="24"/>
        </w:rPr>
      </w:pPr>
      <w:r>
        <w:rPr>
          <w:szCs w:val="24"/>
        </w:rPr>
        <w:t>4. Treść zapytań wraz z wyjaśnieniami Zamawiający przekaże Wykonawcom oraz udostępni na stronie  internetowej Zamawiającego .</w:t>
      </w:r>
    </w:p>
    <w:p>
      <w:pPr>
        <w:pStyle w:val="Normal"/>
        <w:spacing w:lineRule="auto" w:line="252"/>
        <w:ind w:left="0" w:hanging="0"/>
        <w:jc w:val="both"/>
        <w:rPr>
          <w:rFonts w:eastAsia="Calibri"/>
          <w:b/>
          <w:b/>
          <w:bCs/>
          <w:szCs w:val="18"/>
        </w:rPr>
      </w:pPr>
      <w:r>
        <w:rPr>
          <w:rFonts w:eastAsia="Calibri"/>
          <w:b/>
          <w:bCs/>
          <w:szCs w:val="18"/>
        </w:rPr>
      </w:r>
    </w:p>
    <w:p>
      <w:pPr>
        <w:pStyle w:val="Artyku"/>
        <w:numPr>
          <w:ilvl w:val="0"/>
          <w:numId w:val="1"/>
        </w:numPr>
        <w:rPr/>
      </w:pPr>
      <w:bookmarkStart w:id="10" w:name="_Toc496698271"/>
      <w:r>
        <w:rPr/>
        <w:t>Informacja na temat wadium</w:t>
      </w:r>
      <w:bookmarkEnd w:id="10"/>
    </w:p>
    <w:p>
      <w:pPr>
        <w:pStyle w:val="Artyku"/>
        <w:ind w:left="1077" w:hanging="227"/>
        <w:rPr/>
      </w:pPr>
      <w:r>
        <w:rPr/>
      </w:r>
    </w:p>
    <w:p>
      <w:pPr>
        <w:pStyle w:val="Artyku"/>
        <w:rPr>
          <w:b w:val="false"/>
          <w:b w:val="false"/>
        </w:rPr>
      </w:pPr>
      <w:r>
        <w:rPr>
          <w:b w:val="false"/>
          <w:bCs/>
        </w:rPr>
        <w:t xml:space="preserve">Wymagania dotyczące wadium - </w:t>
      </w:r>
      <w:r>
        <w:rPr>
          <w:b w:val="false"/>
        </w:rPr>
        <w:t>Zamawiający nie wymaga wniesienia wadium.</w:t>
      </w:r>
    </w:p>
    <w:p>
      <w:pPr>
        <w:pStyle w:val="Artyku"/>
        <w:rPr/>
      </w:pPr>
      <w:r>
        <w:rPr/>
      </w:r>
    </w:p>
    <w:p>
      <w:pPr>
        <w:pStyle w:val="Artyku"/>
        <w:numPr>
          <w:ilvl w:val="0"/>
          <w:numId w:val="1"/>
        </w:numPr>
        <w:rPr/>
      </w:pPr>
      <w:bookmarkStart w:id="11" w:name="_Toc496698272"/>
      <w:r>
        <w:rPr/>
        <w:t>Termin związania ofertą</w:t>
      </w:r>
      <w:bookmarkEnd w:id="11"/>
    </w:p>
    <w:p>
      <w:pPr>
        <w:pStyle w:val="Artyku"/>
        <w:ind w:left="1077" w:hanging="227"/>
        <w:rPr/>
      </w:pPr>
      <w:r>
        <w:rPr/>
      </w:r>
    </w:p>
    <w:p>
      <w:pPr>
        <w:pStyle w:val="Normal"/>
        <w:spacing w:before="0" w:after="120"/>
        <w:ind w:left="0" w:hanging="0"/>
        <w:jc w:val="both"/>
        <w:rPr>
          <w:b/>
          <w:b/>
          <w:bCs/>
          <w:szCs w:val="24"/>
        </w:rPr>
      </w:pPr>
      <w:r>
        <w:rPr>
          <w:szCs w:val="24"/>
        </w:rPr>
        <w:t xml:space="preserve">1. Wykonawcy pozostają związani ofertą przez </w:t>
      </w:r>
      <w:r>
        <w:rPr>
          <w:b/>
          <w:bCs/>
          <w:szCs w:val="24"/>
        </w:rPr>
        <w:t xml:space="preserve">okres 30 dni </w:t>
      </w:r>
      <w:r>
        <w:rPr>
          <w:szCs w:val="24"/>
        </w:rPr>
        <w:t>od upływu terminu do składania ofert</w:t>
      </w:r>
      <w:r>
        <w:rPr>
          <w:bCs/>
          <w:szCs w:val="24"/>
        </w:rPr>
        <w:t>.</w:t>
      </w:r>
    </w:p>
    <w:p>
      <w:pPr>
        <w:pStyle w:val="Normal"/>
        <w:ind w:left="0" w:hanging="0"/>
        <w:jc w:val="both"/>
        <w:rPr>
          <w:szCs w:val="24"/>
        </w:rPr>
      </w:pPr>
      <w:r>
        <w:rPr>
          <w:szCs w:val="24"/>
        </w:rPr>
        <w:t>2. Przedłużenie terminu związania ofertą jest dopuszczalne tylko z jednoczesnym przedłużeniem okresu ważności wadium albo, z wniesieniem nowego wadium na przedłużony okres związania ofertą.</w:t>
      </w:r>
    </w:p>
    <w:p>
      <w:pPr>
        <w:pStyle w:val="Normal"/>
        <w:ind w:left="0" w:hanging="0"/>
        <w:rPr>
          <w:rFonts w:eastAsia="Calibri"/>
          <w:sz w:val="18"/>
          <w:szCs w:val="18"/>
        </w:rPr>
      </w:pPr>
      <w:r>
        <w:rPr>
          <w:rFonts w:eastAsia="Calibri"/>
          <w:sz w:val="18"/>
          <w:szCs w:val="18"/>
        </w:rPr>
      </w:r>
    </w:p>
    <w:p>
      <w:pPr>
        <w:pStyle w:val="Artyku"/>
        <w:numPr>
          <w:ilvl w:val="0"/>
          <w:numId w:val="1"/>
        </w:numPr>
        <w:rPr/>
      </w:pPr>
      <w:bookmarkStart w:id="12" w:name="_Toc496698273"/>
      <w:r>
        <w:rPr/>
        <w:t>Opis sposobu przygotowania oferty</w:t>
      </w:r>
      <w:bookmarkEnd w:id="12"/>
    </w:p>
    <w:p>
      <w:pPr>
        <w:pStyle w:val="Artyku"/>
        <w:ind w:left="357" w:hanging="227"/>
        <w:rPr/>
      </w:pPr>
      <w:r>
        <w:rPr/>
      </w:r>
    </w:p>
    <w:p>
      <w:pPr>
        <w:pStyle w:val="Normal"/>
        <w:ind w:left="0" w:hanging="0"/>
        <w:jc w:val="both"/>
        <w:rPr>
          <w:b/>
          <w:b/>
          <w:bCs/>
          <w:szCs w:val="24"/>
        </w:rPr>
      </w:pPr>
      <w:r>
        <w:rPr>
          <w:b/>
          <w:bCs/>
          <w:szCs w:val="24"/>
        </w:rPr>
        <w:t>A. Przygotowanie oferty</w:t>
      </w:r>
    </w:p>
    <w:p>
      <w:pPr>
        <w:pStyle w:val="Normal"/>
        <w:spacing w:lineRule="auto" w:line="276" w:before="0" w:after="120"/>
        <w:ind w:left="0" w:hanging="0"/>
        <w:jc w:val="both"/>
        <w:rPr>
          <w:szCs w:val="24"/>
        </w:rPr>
      </w:pPr>
      <w:r>
        <w:rPr>
          <w:szCs w:val="24"/>
        </w:rPr>
        <w:t>1. Wykonawca zobowiązany jest zapoznać się z wszystkimi rozdziałami oraz załącznikami składającymi się na specyfikację istotnych warunków zamówienia.</w:t>
      </w:r>
    </w:p>
    <w:p>
      <w:pPr>
        <w:pStyle w:val="Normal"/>
        <w:spacing w:lineRule="auto" w:line="276" w:before="0" w:after="120"/>
        <w:ind w:left="0" w:hanging="0"/>
        <w:jc w:val="both"/>
        <w:rPr>
          <w:szCs w:val="24"/>
        </w:rPr>
      </w:pPr>
      <w:r>
        <w:rPr>
          <w:szCs w:val="24"/>
        </w:rPr>
        <w:t>2. Każdy Wykonawca może przedłożyć tylko jedną ofertę. Wykonawca winien złożyć ofertę na formularzu ofertowym Zamawiającego (</w:t>
      </w:r>
      <w:r>
        <w:rPr>
          <w:b/>
          <w:szCs w:val="24"/>
        </w:rPr>
        <w:t>zał. nr 1 do SIWZ</w:t>
      </w:r>
      <w:r>
        <w:rPr>
          <w:szCs w:val="24"/>
        </w:rPr>
        <w:t>).</w:t>
      </w:r>
    </w:p>
    <w:p>
      <w:pPr>
        <w:pStyle w:val="Normal"/>
        <w:spacing w:lineRule="auto" w:line="276" w:before="0" w:after="120"/>
        <w:ind w:left="0" w:hanging="0"/>
        <w:jc w:val="both"/>
        <w:rPr>
          <w:szCs w:val="24"/>
        </w:rPr>
      </w:pPr>
      <w:r>
        <w:rPr>
          <w:szCs w:val="24"/>
        </w:rPr>
        <w:t xml:space="preserve">3. Wykonawca poniesie wszelkie koszty związane z przygotowaniem i złożeniem oferty. </w:t>
      </w:r>
    </w:p>
    <w:p>
      <w:pPr>
        <w:pStyle w:val="Normal"/>
        <w:spacing w:lineRule="auto" w:line="276" w:before="0" w:after="120"/>
        <w:ind w:left="0" w:hanging="0"/>
        <w:jc w:val="both"/>
        <w:rPr>
          <w:szCs w:val="24"/>
        </w:rPr>
      </w:pPr>
      <w:r>
        <w:rPr>
          <w:szCs w:val="24"/>
        </w:rPr>
        <w:t>4. Oferta wraz z wymaganymi dokumentami i oświadczeniami o których mowa w rozdziale VI, powinny być sporządzone w języku polskim z zachowaniem formy pisemnej. Wszelkie oświadczenia, wykazy oraz inne informacje wymagane w SIWZ, Wykonawcy mogą składać na własnych drukach. Treść druków własnych, przygotowanych przez Wykonawcę musi być zgodna z treścią załączników opracowanych przez stronę Zamawiającą.</w:t>
      </w:r>
    </w:p>
    <w:p>
      <w:pPr>
        <w:pStyle w:val="Normal"/>
        <w:spacing w:lineRule="auto" w:line="276" w:before="0" w:after="120"/>
        <w:ind w:left="0" w:hanging="0"/>
        <w:jc w:val="both"/>
        <w:rPr>
          <w:szCs w:val="24"/>
        </w:rPr>
      </w:pPr>
      <w:r>
        <w:rPr>
          <w:szCs w:val="24"/>
        </w:rPr>
      </w:r>
    </w:p>
    <w:p>
      <w:pPr>
        <w:pStyle w:val="Normal"/>
        <w:spacing w:lineRule="auto" w:line="276" w:before="0" w:after="120"/>
        <w:ind w:left="0" w:hanging="0"/>
        <w:jc w:val="both"/>
        <w:rPr>
          <w:b/>
          <w:b/>
          <w:bCs/>
          <w:szCs w:val="24"/>
        </w:rPr>
      </w:pPr>
      <w:r>
        <w:rPr>
          <w:szCs w:val="24"/>
        </w:rPr>
        <w:t xml:space="preserve">5. </w:t>
      </w:r>
      <w:r>
        <w:rPr>
          <w:b/>
          <w:bCs/>
          <w:szCs w:val="24"/>
        </w:rPr>
        <w:t xml:space="preserve">Oferta i oświadczenia muszą być podpisane przez osobę/y uprawnioną/e lub upoważnioną/e do składania oświadczeń woli w imieniu Wykonawcy, pozostałe dokumenty wymagane przez SIWZ, </w:t>
        <w:br/>
        <w:t>w tym kopie poświadczone za zgodność z oryginałem muszą być parafowane, nie koniecznie przez osobę/y upoważnioną/e do składania oświadczeń woli w imieniu Wykonawcy.</w:t>
      </w:r>
    </w:p>
    <w:p>
      <w:pPr>
        <w:pStyle w:val="Normal"/>
        <w:spacing w:lineRule="auto" w:line="276" w:before="0" w:after="120"/>
        <w:ind w:left="0" w:hanging="0"/>
        <w:jc w:val="both"/>
        <w:rPr>
          <w:szCs w:val="24"/>
        </w:rPr>
      </w:pPr>
      <w:r>
        <w:rPr>
          <w:szCs w:val="24"/>
        </w:rPr>
        <w:t>6. Pełnomocnictwo do złożenia oferty, o ile prawo do podpisania oferty nie wynika z innych dokumentów złożonych wraz z ofertą. Treść pełnomocnictwa musi jednoznacznie określać czynności, co do wykonania, których pełnomocnik jest upoważniony. Pełnomocnictwo musi być przedstawione w oryginale lub kopii, której zgodność z oryginałem poświadczono notarialnie.</w:t>
      </w:r>
    </w:p>
    <w:p>
      <w:pPr>
        <w:pStyle w:val="Normal"/>
        <w:spacing w:lineRule="auto" w:line="276" w:before="0" w:after="120"/>
        <w:ind w:left="0" w:hanging="0"/>
        <w:jc w:val="both"/>
        <w:rPr>
          <w:szCs w:val="24"/>
        </w:rPr>
      </w:pPr>
      <w:r>
        <w:rPr>
          <w:szCs w:val="24"/>
        </w:rPr>
        <w:t>7. Upoważnienie / pełnomocnictwo do ich podpisania musi być dołączone do oferty w formie oryginału.</w:t>
      </w:r>
    </w:p>
    <w:p>
      <w:pPr>
        <w:pStyle w:val="Normal"/>
        <w:spacing w:lineRule="auto" w:line="276" w:before="0" w:after="120"/>
        <w:ind w:left="0" w:hanging="0"/>
        <w:jc w:val="both"/>
        <w:rPr>
          <w:szCs w:val="24"/>
        </w:rPr>
      </w:pPr>
      <w:r>
        <w:rPr>
          <w:szCs w:val="24"/>
        </w:rPr>
        <w:t>8. Wszelkie poprawki naniesione przez Wykonawcę winny być parafowane przez osoby podpisujące ofertę wraz ze wskazaniem daty kiedy zostały naniesione zmiany.</w:t>
      </w:r>
    </w:p>
    <w:p>
      <w:pPr>
        <w:pStyle w:val="Normal"/>
        <w:spacing w:lineRule="auto" w:line="276" w:before="0" w:after="120"/>
        <w:ind w:left="0" w:hanging="0"/>
        <w:jc w:val="both"/>
        <w:rPr>
          <w:szCs w:val="24"/>
        </w:rPr>
      </w:pPr>
      <w:r>
        <w:rPr>
          <w:szCs w:val="24"/>
        </w:rPr>
        <w:t>9. Ofertę wypełnić należy w sposób czytelny, na komputerze lub czytelnym pismem odręcznym. Nieczytelne oferty mogą zostać odrzucone.</w:t>
      </w:r>
    </w:p>
    <w:p>
      <w:pPr>
        <w:pStyle w:val="Normal"/>
        <w:spacing w:lineRule="auto" w:line="276"/>
        <w:ind w:left="0" w:hanging="0"/>
        <w:jc w:val="both"/>
        <w:rPr>
          <w:szCs w:val="24"/>
        </w:rPr>
      </w:pPr>
      <w:r>
        <w:rPr>
          <w:szCs w:val="24"/>
        </w:rPr>
        <w:t>10. Wykonawca złoży ofertę zgodnie z wymaganiami SIWZ.</w:t>
      </w:r>
    </w:p>
    <w:p>
      <w:pPr>
        <w:pStyle w:val="Normal"/>
        <w:spacing w:lineRule="auto" w:line="276"/>
        <w:ind w:left="0" w:hanging="0"/>
        <w:jc w:val="both"/>
        <w:rPr>
          <w:szCs w:val="24"/>
        </w:rPr>
      </w:pPr>
      <w:r>
        <w:rPr>
          <w:szCs w:val="24"/>
        </w:rPr>
      </w:r>
    </w:p>
    <w:p>
      <w:pPr>
        <w:pStyle w:val="Normal"/>
        <w:ind w:left="0" w:hanging="0"/>
        <w:jc w:val="both"/>
        <w:rPr>
          <w:b/>
          <w:b/>
          <w:bCs/>
          <w:szCs w:val="24"/>
        </w:rPr>
      </w:pPr>
      <w:r>
        <w:rPr>
          <w:b/>
          <w:bCs/>
          <w:szCs w:val="24"/>
        </w:rPr>
        <w:t>B. Oferta wspólna - konsorcjum</w:t>
      </w:r>
    </w:p>
    <w:p>
      <w:pPr>
        <w:pStyle w:val="Normal"/>
        <w:spacing w:lineRule="auto" w:line="276" w:before="0" w:after="120"/>
        <w:ind w:left="0" w:hanging="0"/>
        <w:jc w:val="both"/>
        <w:rPr>
          <w:szCs w:val="24"/>
        </w:rPr>
      </w:pPr>
      <w:r>
        <w:rPr>
          <w:szCs w:val="24"/>
        </w:rPr>
        <w:t xml:space="preserve">1. Wykonawcy składający ofertę wspólną ustanawiają pełnomocnika do reprezentowania ich </w:t>
        <w:br/>
        <w:t>w postępowaniu albo do reprezentowania ich w postępowaniu i zawarcia umowy. Do oferty należy załączyć pełnomocnictwo dla ustanowionego pełnomocnika.</w:t>
      </w:r>
    </w:p>
    <w:p>
      <w:pPr>
        <w:pStyle w:val="Normal"/>
        <w:spacing w:lineRule="auto" w:line="276" w:before="0" w:after="120"/>
        <w:ind w:left="0" w:hanging="0"/>
        <w:jc w:val="both"/>
        <w:rPr>
          <w:szCs w:val="24"/>
        </w:rPr>
      </w:pPr>
      <w:r>
        <w:rPr>
          <w:szCs w:val="24"/>
        </w:rPr>
        <w:t>2. Pełnomocnik pozostaje w kontakcie z Zamawiającym w toku postępowania: zwraca się do zamawiającego z wszelkimi sprawami i do niego zamawiający kieruje informacje, korespondencję, itp.</w:t>
      </w:r>
    </w:p>
    <w:p>
      <w:pPr>
        <w:pStyle w:val="Normal"/>
        <w:spacing w:lineRule="auto" w:line="276" w:before="0" w:after="120"/>
        <w:ind w:left="0" w:hanging="0"/>
        <w:jc w:val="both"/>
        <w:rPr>
          <w:szCs w:val="24"/>
        </w:rPr>
      </w:pPr>
      <w:r>
        <w:rPr>
          <w:szCs w:val="24"/>
        </w:rPr>
        <w:t>3. Oferta wspólna, składana przez dwóch lub więcej wykonawców, powinna spełniać następujące wymagania:</w:t>
      </w:r>
    </w:p>
    <w:p>
      <w:pPr>
        <w:pStyle w:val="Normal"/>
        <w:spacing w:lineRule="auto" w:line="276" w:before="0" w:after="120"/>
        <w:ind w:left="0" w:hanging="0"/>
        <w:jc w:val="both"/>
        <w:rPr>
          <w:szCs w:val="24"/>
        </w:rPr>
      </w:pPr>
      <w:r>
        <w:rPr>
          <w:szCs w:val="24"/>
        </w:rPr>
        <w:t>1) oferta wspólna powinna być sporządzona zgodnie z SIWZ;</w:t>
      </w:r>
    </w:p>
    <w:p>
      <w:pPr>
        <w:pStyle w:val="Normal"/>
        <w:spacing w:lineRule="auto" w:line="276"/>
        <w:ind w:left="0" w:hanging="0"/>
        <w:jc w:val="both"/>
        <w:rPr>
          <w:szCs w:val="24"/>
        </w:rPr>
      </w:pPr>
      <w:r>
        <w:rPr>
          <w:szCs w:val="24"/>
        </w:rPr>
        <w:t>2) sposób składania oświadczeń i dokumentów w ofercie wspólnej:</w:t>
      </w:r>
    </w:p>
    <w:p>
      <w:pPr>
        <w:pStyle w:val="Normal"/>
        <w:spacing w:lineRule="auto" w:line="276" w:before="0" w:after="120"/>
        <w:ind w:left="0" w:hanging="0"/>
        <w:jc w:val="both"/>
        <w:rPr>
          <w:szCs w:val="24"/>
        </w:rPr>
      </w:pPr>
      <w:r>
        <w:rPr>
          <w:szCs w:val="24"/>
        </w:rPr>
        <w:t xml:space="preserve">a) wykonawcy składają jedną ofertę do której załączone będą oświadczenia i dokumenty, o których mowa </w:t>
        <w:br/>
        <w:t>w rozdziale VI ust. 1 SIWZ - oświadczenia o braku podstaw do wykluczenia oraz spełniania warunków udziału w postępowaniu składa każdy z wykonawców osobno;</w:t>
      </w:r>
    </w:p>
    <w:p>
      <w:pPr>
        <w:pStyle w:val="Normal"/>
        <w:spacing w:lineRule="auto" w:line="276" w:before="0" w:after="120"/>
        <w:ind w:left="0" w:hanging="0"/>
        <w:jc w:val="both"/>
        <w:rPr>
          <w:szCs w:val="24"/>
        </w:rPr>
      </w:pPr>
      <w:r>
        <w:rPr>
          <w:szCs w:val="24"/>
        </w:rPr>
        <w:t xml:space="preserve">b) w przypadku, o którym mowa w rozdziale VI ust. 2 wykonawca winien przedłożyć dokumenty </w:t>
        <w:br/>
        <w:t>i oświadczenia wymienione w rozdziale VI ust. 4 pkt. 1-3 dotyczące każdego partnera konsorcjum osobno;</w:t>
      </w:r>
    </w:p>
    <w:p>
      <w:pPr>
        <w:pStyle w:val="Normal"/>
        <w:spacing w:lineRule="auto" w:line="276" w:before="0" w:after="120"/>
        <w:ind w:left="0" w:hanging="0"/>
        <w:jc w:val="both"/>
        <w:rPr>
          <w:szCs w:val="24"/>
        </w:rPr>
      </w:pPr>
      <w:r>
        <w:rPr>
          <w:szCs w:val="24"/>
        </w:rPr>
        <w:t>c) oświadczenie, o którym mowa w rozdziale VI ust. 12 składa każdy z wykonawców osobno;</w:t>
      </w:r>
    </w:p>
    <w:p>
      <w:pPr>
        <w:pStyle w:val="Normal"/>
        <w:spacing w:lineRule="auto" w:line="276" w:before="0" w:after="120"/>
        <w:ind w:left="0" w:hanging="0"/>
        <w:jc w:val="both"/>
        <w:rPr>
          <w:szCs w:val="24"/>
        </w:rPr>
      </w:pPr>
      <w:r>
        <w:rPr>
          <w:szCs w:val="24"/>
        </w:rPr>
        <w:t xml:space="preserve">d) oświadczenia i dokumenty wspólne takie jak np.: oferta cenowa, składa pełnomocnik wykonawców </w:t>
        <w:br/>
        <w:t>w imieniu wszystkich wykonawców składających ofertę wspólną;</w:t>
      </w:r>
    </w:p>
    <w:p>
      <w:pPr>
        <w:pStyle w:val="Normal"/>
        <w:spacing w:lineRule="auto" w:line="276" w:before="0" w:after="120"/>
        <w:ind w:left="0" w:hanging="0"/>
        <w:jc w:val="both"/>
        <w:rPr>
          <w:szCs w:val="24"/>
        </w:rPr>
      </w:pPr>
      <w:r>
        <w:rPr>
          <w:szCs w:val="24"/>
        </w:rPr>
        <w:t>e) oferta musi być podpisana w taki sposób, by prawnie zobowiązywała wszystkich wykonawców występujących wspólnie ubiegających się o udzielenie zamówienia;</w:t>
      </w:r>
    </w:p>
    <w:p>
      <w:pPr>
        <w:pStyle w:val="Normal"/>
        <w:spacing w:lineRule="auto" w:line="276" w:before="0" w:after="120"/>
        <w:ind w:left="0" w:hanging="0"/>
        <w:jc w:val="both"/>
        <w:rPr>
          <w:szCs w:val="24"/>
        </w:rPr>
      </w:pPr>
      <w:r>
        <w:rPr>
          <w:szCs w:val="24"/>
        </w:rPr>
        <w:t>f) wszyscy partnerzy będą ponosić odpowiedzialność solidarną za wykonanie umowy zgodnie z jej postanowieniami;</w:t>
      </w:r>
    </w:p>
    <w:p>
      <w:pPr>
        <w:pStyle w:val="Normal"/>
        <w:spacing w:lineRule="auto" w:line="276" w:before="0" w:after="120"/>
        <w:ind w:left="0" w:hanging="0"/>
        <w:jc w:val="both"/>
        <w:rPr>
          <w:szCs w:val="24"/>
        </w:rPr>
      </w:pPr>
      <w:r>
        <w:rPr>
          <w:szCs w:val="24"/>
        </w:rPr>
        <w:t>g) wszelka korespondencja dokonywana będzie wyłącznie z podmiotem występującym jako reprezentant (pełnomocnik) pozostałych.</w:t>
      </w:r>
    </w:p>
    <w:p>
      <w:pPr>
        <w:pStyle w:val="Normal"/>
        <w:spacing w:lineRule="auto" w:line="276" w:before="0" w:after="120"/>
        <w:ind w:left="0" w:hanging="0"/>
        <w:jc w:val="both"/>
        <w:rPr>
          <w:i/>
          <w:i/>
          <w:szCs w:val="24"/>
        </w:rPr>
      </w:pPr>
      <w:r>
        <w:rPr>
          <w:i/>
          <w:szCs w:val="24"/>
        </w:rPr>
        <w:t>Uwagi: warunki, o których mowa w rozdziale V SIWZ (warunki uczestnictwa w przetargu) podmioty składające ofertę wspólną jako konsorcjum mogą spełniać łącznie.</w:t>
      </w:r>
    </w:p>
    <w:p>
      <w:pPr>
        <w:pStyle w:val="Normal"/>
        <w:spacing w:lineRule="auto" w:line="276" w:before="0" w:after="120"/>
        <w:ind w:left="0" w:hanging="0"/>
        <w:jc w:val="both"/>
        <w:rPr>
          <w:szCs w:val="24"/>
        </w:rPr>
      </w:pPr>
      <w:r>
        <w:rPr>
          <w:szCs w:val="24"/>
        </w:rPr>
        <w:t>3) przed podpisaniem umowy (w przypadku wygrania przetargu) wykonawcy składający ofertę wspólną będą mieli obowiązek przedstawić zamawiającemu umowę konsorcjum.</w:t>
      </w:r>
    </w:p>
    <w:p>
      <w:pPr>
        <w:pStyle w:val="Normal"/>
        <w:spacing w:lineRule="auto" w:line="276"/>
        <w:ind w:left="0" w:hanging="0"/>
        <w:jc w:val="both"/>
        <w:rPr>
          <w:szCs w:val="24"/>
        </w:rPr>
      </w:pPr>
      <w:r>
        <w:rPr>
          <w:szCs w:val="24"/>
        </w:rPr>
        <w:t>4. Pełnomocnictwo do reprezentowania Wykonawców w postępowaniu albo reprezentowania Wykonawców w postępowaniu i zawarcia umowy w sprawie zamówienia publicznego - dotyczy Wykonawców wspólnie ubiegających się o uzyskanie zamówienia. Pełnomocnictwo musi być przedstawione w oryginale lub kopii, której zgodność z oryginałem poświadczono notarialnie.</w:t>
      </w:r>
    </w:p>
    <w:p>
      <w:pPr>
        <w:pStyle w:val="Normal"/>
        <w:spacing w:lineRule="auto" w:line="276"/>
        <w:ind w:left="0" w:hanging="0"/>
        <w:jc w:val="both"/>
        <w:rPr>
          <w:sz w:val="12"/>
          <w:szCs w:val="24"/>
        </w:rPr>
      </w:pPr>
      <w:r>
        <w:rPr>
          <w:sz w:val="12"/>
          <w:szCs w:val="24"/>
        </w:rPr>
      </w:r>
    </w:p>
    <w:p>
      <w:pPr>
        <w:pStyle w:val="Normal"/>
        <w:ind w:left="0" w:hanging="0"/>
        <w:jc w:val="both"/>
        <w:rPr>
          <w:b/>
          <w:b/>
          <w:bCs/>
          <w:szCs w:val="24"/>
        </w:rPr>
      </w:pPr>
      <w:r>
        <w:rPr>
          <w:b/>
          <w:bCs/>
          <w:szCs w:val="24"/>
        </w:rPr>
        <w:t>C. Podwykonawcy</w:t>
      </w:r>
    </w:p>
    <w:p>
      <w:pPr>
        <w:pStyle w:val="Normal"/>
        <w:spacing w:lineRule="auto" w:line="276" w:before="0" w:after="120"/>
        <w:ind w:left="0" w:hanging="0"/>
        <w:jc w:val="both"/>
        <w:rPr>
          <w:szCs w:val="24"/>
        </w:rPr>
      </w:pPr>
      <w:r>
        <w:rPr>
          <w:szCs w:val="24"/>
        </w:rPr>
        <w:t>1. Zamawiający dopuszcza powierzenie części zamówienia na roboty budowlane przez Wykonawcę podwykonawcom lub dalszym podwykonawcom.</w:t>
      </w:r>
    </w:p>
    <w:p>
      <w:pPr>
        <w:pStyle w:val="Normal"/>
        <w:spacing w:lineRule="auto" w:line="276" w:before="0" w:after="120"/>
        <w:ind w:left="0" w:hanging="0"/>
        <w:jc w:val="both"/>
        <w:rPr>
          <w:szCs w:val="24"/>
        </w:rPr>
      </w:pPr>
      <w:r>
        <w:rPr>
          <w:szCs w:val="24"/>
        </w:rPr>
        <w:t>2. W przypadku powierzenia określonej części robót podwykonawcy, stosuje się następujące zasady.</w:t>
      </w:r>
    </w:p>
    <w:p>
      <w:pPr>
        <w:pStyle w:val="Normal"/>
        <w:spacing w:lineRule="auto" w:line="276" w:before="0" w:after="120"/>
        <w:ind w:left="0" w:hanging="0"/>
        <w:jc w:val="both"/>
        <w:rPr>
          <w:szCs w:val="24"/>
        </w:rPr>
      </w:pPr>
      <w:r>
        <w:rPr>
          <w:szCs w:val="24"/>
        </w:rPr>
        <w:t xml:space="preserve">3. Do zawarcia przez Wykonawcę umowy z Podwykonawcą wymagana jest zgoda Zamawiającego. Wykonawca, podwykonawca lub dalszy podwykonawca zamówienia zamierzający zawrzeć umowę </w:t>
        <w:br/>
        <w:t>o podwykonawstwo, której przedmiotem są roboty budowlane jest obowiązany, w trakcie realizacji zamówienia publicznego, do przedłożenia Zamawiającemu projektu tej umowy, wraz z wyszczególnieniem zakresu, jaki chce mu powierzyć. Przy czym podwykonawca lub dalszy podwykonawca jest obowiązany dołączyć zgodę Wykonawcy na zawarcie umowy o podwykonawstwo o treści zgodnej z projektem umowy.</w:t>
      </w:r>
    </w:p>
    <w:p>
      <w:pPr>
        <w:pStyle w:val="Normal"/>
        <w:spacing w:lineRule="auto" w:line="276" w:before="0" w:after="120"/>
        <w:ind w:left="0" w:hanging="0"/>
        <w:jc w:val="both"/>
        <w:rPr>
          <w:szCs w:val="24"/>
        </w:rPr>
      </w:pPr>
      <w:r>
        <w:rPr>
          <w:szCs w:val="24"/>
        </w:rPr>
        <w:t xml:space="preserve">4. Zamawiający określa następujące wymagania dotyczące umów o podwykonawstwo robót budowlanych, których niespełnienie powodować będzie zgłoszeniem zastrzeżeń lub sprzeciwu przez Zamawiającego. Zamawiający nie wyrazi zgody na zawarcie przedstawionej mu przez Wykonawcę, umowy </w:t>
        <w:br/>
        <w:t>z Podwykonawcą w szczególności w następujących przypadkach:</w:t>
      </w:r>
    </w:p>
    <w:p>
      <w:pPr>
        <w:pStyle w:val="Normal"/>
        <w:spacing w:lineRule="auto" w:line="276" w:before="0" w:after="120"/>
        <w:ind w:left="0" w:hanging="0"/>
        <w:jc w:val="both"/>
        <w:rPr>
          <w:szCs w:val="24"/>
        </w:rPr>
      </w:pPr>
      <w:r>
        <w:rPr>
          <w:szCs w:val="24"/>
        </w:rPr>
        <w:t>a) umowa podwykonawcza nie określa Stron, pomiędzy którymi jest zawierana;</w:t>
      </w:r>
    </w:p>
    <w:p>
      <w:pPr>
        <w:pStyle w:val="Normal"/>
        <w:spacing w:lineRule="auto" w:line="276" w:before="0" w:after="120"/>
        <w:ind w:left="0" w:hanging="0"/>
        <w:jc w:val="both"/>
        <w:rPr>
          <w:szCs w:val="24"/>
        </w:rPr>
      </w:pPr>
      <w:r>
        <w:rPr>
          <w:szCs w:val="24"/>
        </w:rPr>
        <w:t>b) w umowie podwykonawczej Strony nie wskazały wartości wynagrodzenia/maksymalnej wartości umowy z tytułu wykonywania robót;</w:t>
      </w:r>
    </w:p>
    <w:p>
      <w:pPr>
        <w:pStyle w:val="Normal"/>
        <w:spacing w:lineRule="auto" w:line="276" w:before="0" w:after="120"/>
        <w:ind w:left="0" w:hanging="0"/>
        <w:jc w:val="both"/>
        <w:rPr>
          <w:szCs w:val="24"/>
        </w:rPr>
      </w:pPr>
      <w:r>
        <w:rPr>
          <w:szCs w:val="24"/>
        </w:rPr>
        <w:t>c) wynagrodzenie za wykonanie robót, które Wykonawca powierza Podwykonawcy, przekracza wartość wynagrodzenia wskazanego w ofercie przetargowej Wykonawcy;</w:t>
      </w:r>
    </w:p>
    <w:p>
      <w:pPr>
        <w:pStyle w:val="Normal"/>
        <w:spacing w:lineRule="auto" w:line="276" w:before="0" w:after="120"/>
        <w:ind w:left="0" w:hanging="0"/>
        <w:jc w:val="both"/>
        <w:rPr>
          <w:szCs w:val="24"/>
        </w:rPr>
      </w:pPr>
      <w:r>
        <w:rPr>
          <w:szCs w:val="24"/>
        </w:rPr>
        <w:t xml:space="preserve">d) do umowy podwykonawczej nie dołączono kosztorysów (przy wynagrodzeniu kosztorysowym),  </w:t>
        <w:br/>
        <w:t>z których wynika wartość należnego Podwykonawcy wynagrodzenia;</w:t>
      </w:r>
    </w:p>
    <w:p>
      <w:pPr>
        <w:pStyle w:val="Normal"/>
        <w:spacing w:lineRule="auto" w:line="276" w:before="0" w:after="120"/>
        <w:ind w:left="0" w:hanging="0"/>
        <w:jc w:val="both"/>
        <w:rPr>
          <w:szCs w:val="24"/>
        </w:rPr>
      </w:pPr>
      <w:r>
        <w:rPr>
          <w:szCs w:val="24"/>
        </w:rPr>
        <w:t xml:space="preserve">e) umowa podwykonawcza określa wymagalność zapłaty wynagrodzenia należnego Podwykonawcy </w:t>
        <w:br/>
        <w:t>w sposób inny (wymagalności) / dłuższy (termin zapłaty) niż w niniejszej umowie;</w:t>
      </w:r>
    </w:p>
    <w:p>
      <w:pPr>
        <w:pStyle w:val="Normal"/>
        <w:spacing w:lineRule="auto" w:line="276"/>
        <w:ind w:left="0" w:hanging="0"/>
        <w:jc w:val="both"/>
        <w:rPr>
          <w:szCs w:val="24"/>
        </w:rPr>
      </w:pPr>
      <w:r>
        <w:rPr>
          <w:szCs w:val="24"/>
        </w:rPr>
        <w:t>f) postanowienia umowy podwykonawczej uzależniają zapłatę wynagrodzenia należnego Podwykonawcy przez Wykonawcę od otrzymania przez Wykonawcę, zapłaty od Zamawiającego za wykonany zakres robót;</w:t>
      </w:r>
    </w:p>
    <w:p>
      <w:pPr>
        <w:pStyle w:val="Normal"/>
        <w:spacing w:lineRule="auto" w:line="276"/>
        <w:ind w:left="0" w:hanging="0"/>
        <w:jc w:val="both"/>
        <w:rPr>
          <w:sz w:val="12"/>
          <w:szCs w:val="24"/>
        </w:rPr>
      </w:pPr>
      <w:r>
        <w:rPr>
          <w:sz w:val="12"/>
          <w:szCs w:val="24"/>
        </w:rPr>
      </w:r>
    </w:p>
    <w:p>
      <w:pPr>
        <w:pStyle w:val="Normal"/>
        <w:spacing w:lineRule="auto" w:line="276" w:before="0" w:after="120"/>
        <w:ind w:left="0" w:hanging="0"/>
        <w:jc w:val="both"/>
        <w:rPr>
          <w:szCs w:val="24"/>
        </w:rPr>
      </w:pPr>
      <w:r>
        <w:rPr>
          <w:szCs w:val="24"/>
        </w:rPr>
        <w:t xml:space="preserve">g) postanowienia umowy podwykonawczej uniemożliwiają rozliczenie stron według zasad określonych </w:t>
        <w:br/>
        <w:t>w umowie;</w:t>
      </w:r>
    </w:p>
    <w:p>
      <w:pPr>
        <w:pStyle w:val="Normal"/>
        <w:spacing w:lineRule="auto" w:line="276" w:before="0" w:after="120"/>
        <w:ind w:left="0" w:hanging="0"/>
        <w:jc w:val="both"/>
        <w:rPr>
          <w:szCs w:val="24"/>
        </w:rPr>
      </w:pPr>
      <w:r>
        <w:rPr>
          <w:szCs w:val="24"/>
        </w:rPr>
        <w:t>h) Podwykonawca nie spełnia warunków określonych w SIWZ dla Podwykonawców (w przypadku gdy zostały określone);</w:t>
      </w:r>
    </w:p>
    <w:p>
      <w:pPr>
        <w:pStyle w:val="Normal"/>
        <w:spacing w:lineRule="auto" w:line="276" w:before="0" w:after="120"/>
        <w:ind w:left="0" w:hanging="0"/>
        <w:jc w:val="both"/>
        <w:rPr>
          <w:szCs w:val="24"/>
        </w:rPr>
      </w:pPr>
      <w:r>
        <w:rPr>
          <w:szCs w:val="24"/>
        </w:rPr>
        <w:t>i) umowa podwykonawcza wskazuje na inny niż określony w umowie z Zamawiającym moment odbioru wykonanych prac lub inne zdarzenie stanowiące podstawę wystawienia faktury za wykonane prace (odbiór częściowy, końcowy itp. stanowiący podstawę wystawienia faktury przez Wykonawcę na rzecz Zamawiającego);</w:t>
      </w:r>
    </w:p>
    <w:p>
      <w:pPr>
        <w:pStyle w:val="Normal"/>
        <w:spacing w:lineRule="auto" w:line="276" w:before="0" w:after="120"/>
        <w:ind w:left="0" w:hanging="0"/>
        <w:jc w:val="both"/>
        <w:rPr>
          <w:szCs w:val="24"/>
        </w:rPr>
      </w:pPr>
      <w:r>
        <w:rPr>
          <w:szCs w:val="24"/>
        </w:rPr>
        <w:t>j) umowa podwykonawcza przewiduje termin realizacji dłuższy niż umowa;</w:t>
      </w:r>
    </w:p>
    <w:p>
      <w:pPr>
        <w:pStyle w:val="Normal"/>
        <w:spacing w:lineRule="auto" w:line="276" w:before="0" w:after="120"/>
        <w:ind w:left="0" w:hanging="0"/>
        <w:jc w:val="both"/>
        <w:rPr>
          <w:szCs w:val="24"/>
        </w:rPr>
      </w:pPr>
      <w:r>
        <w:rPr>
          <w:szCs w:val="24"/>
        </w:rPr>
        <w:t>k) okres odpowiedzialności za wady z tytułu gwarancji i rękojmi jest krótszy od okresu odpowiedzialności za wady Wykonawcy wobec Zamawiającego;</w:t>
      </w:r>
    </w:p>
    <w:p>
      <w:pPr>
        <w:pStyle w:val="Normal"/>
        <w:spacing w:lineRule="auto" w:line="276" w:before="0" w:after="120"/>
        <w:ind w:left="0" w:hanging="0"/>
        <w:jc w:val="both"/>
        <w:rPr>
          <w:szCs w:val="24"/>
        </w:rPr>
      </w:pPr>
      <w:r>
        <w:rPr>
          <w:szCs w:val="24"/>
        </w:rPr>
        <w:t>l) umowa nie zawiera uregulowań dotyczących zawierania umów na roboty budowlane, dostawy lub usługi z dalszymi Podwykonawcami, w szczególności zapisów warunkujących podpisania tych umów od ich akceptacji i zgody Wykonawcy.</w:t>
      </w:r>
    </w:p>
    <w:p>
      <w:pPr>
        <w:pStyle w:val="Normal"/>
        <w:spacing w:lineRule="auto" w:line="276" w:before="0" w:after="120"/>
        <w:ind w:left="0" w:hanging="0"/>
        <w:jc w:val="both"/>
        <w:rPr>
          <w:szCs w:val="24"/>
        </w:rPr>
      </w:pPr>
      <w:r>
        <w:rPr>
          <w:szCs w:val="24"/>
        </w:rPr>
        <w:t xml:space="preserve">5. Akceptacja lub odmowa akceptacji (zastrzeżenia, sprzeciwy) umowy podwykonawczej przez Zamawiającego nastąpi w formie pisemnej pod rygorem nieważności. Zamawiający, w terminie 14 dni od przedłożenia mu projektu umowy, zgłasza pisemne zastrzeżenia lub sprzeciw do projektu umowy </w:t>
        <w:br/>
        <w:t>o podwykonawstwo, której przedmiotem są roboty budowlane</w:t>
      </w:r>
      <w:r>
        <w:rPr>
          <w:b/>
          <w:bCs/>
          <w:szCs w:val="24"/>
        </w:rPr>
        <w:t xml:space="preserve">. </w:t>
      </w:r>
      <w:r>
        <w:rPr>
          <w:szCs w:val="24"/>
        </w:rPr>
        <w:t>Niezgłoszenie pisemnych zastrzeżeń lub sprzeciwu do przedłożonego projektu umowy o podwykonawstwo, której przedmiotem są roboty budowlane, w terminie 14 dni, uważa się za akceptację projektu umowy przez Zamawiającego.</w:t>
      </w:r>
    </w:p>
    <w:p>
      <w:pPr>
        <w:pStyle w:val="Normal"/>
        <w:spacing w:lineRule="auto" w:line="276" w:before="0" w:after="120"/>
        <w:ind w:left="0" w:hanging="0"/>
        <w:jc w:val="both"/>
        <w:rPr>
          <w:szCs w:val="24"/>
        </w:rPr>
      </w:pPr>
      <w:r>
        <w:rPr>
          <w:szCs w:val="24"/>
        </w:rPr>
        <w:t>6. Zgłoszenie sprzeciwu lub zastrzeżeń przez Zamawiającego w terminie określonym w ust. 5 będzie równoznaczne z odmową udzielenia zgody.</w:t>
      </w:r>
    </w:p>
    <w:p>
      <w:pPr>
        <w:pStyle w:val="Normal"/>
        <w:spacing w:lineRule="auto" w:line="276" w:before="0" w:after="120"/>
        <w:ind w:left="0" w:hanging="0"/>
        <w:jc w:val="both"/>
        <w:rPr>
          <w:szCs w:val="24"/>
        </w:rPr>
      </w:pPr>
      <w:r>
        <w:rPr>
          <w:szCs w:val="24"/>
        </w:rPr>
        <w:t>7. W przypadku odmowy akceptacji umowy podwykonawczej, Wykonawca nie może polecić Podwykonawcy przystąpienia do realizacji zadania.</w:t>
      </w:r>
    </w:p>
    <w:p>
      <w:pPr>
        <w:pStyle w:val="Normal"/>
        <w:spacing w:lineRule="auto" w:line="276" w:before="0" w:after="120"/>
        <w:ind w:left="0" w:hanging="0"/>
        <w:jc w:val="both"/>
        <w:rPr>
          <w:szCs w:val="24"/>
        </w:rPr>
      </w:pPr>
      <w:r>
        <w:rPr>
          <w:szCs w:val="24"/>
        </w:rPr>
        <w:t>8. W przypadku odmowy określonej w ust. 6, Wykonawca ponownie przedstawi projekt zmiany umowy z podwykonawcą lub aneks do umowy o podwykonawstwo, uwzględniając zastrzeżenia i uwagi zgłoszone przez Zamawiającego.</w:t>
      </w:r>
    </w:p>
    <w:p>
      <w:pPr>
        <w:pStyle w:val="Normal"/>
        <w:spacing w:lineRule="auto" w:line="276" w:before="0" w:after="120"/>
        <w:ind w:left="0" w:hanging="0"/>
        <w:jc w:val="both"/>
        <w:rPr>
          <w:szCs w:val="24"/>
        </w:rPr>
      </w:pPr>
      <w:r>
        <w:rPr>
          <w:szCs w:val="24"/>
        </w:rPr>
        <w:t>9. Wykonawca, podwykonawca lub dalszy podwykonawca przedkłada Zamawiającemu poświadczoną za zgodność z oryginałem kopię zawartej umowy o podwykonawstwo, której przedmiotem są roboty budowlane, (wcześniej zaakceptowaną przez Zamawiającego) w terminie 7 dni od dnia jej zawarcia.</w:t>
      </w:r>
    </w:p>
    <w:p>
      <w:pPr>
        <w:pStyle w:val="Normal"/>
        <w:spacing w:lineRule="auto" w:line="276" w:before="0" w:after="120"/>
        <w:ind w:left="0" w:hanging="0"/>
        <w:jc w:val="both"/>
        <w:rPr>
          <w:szCs w:val="24"/>
        </w:rPr>
      </w:pPr>
      <w:r>
        <w:rPr>
          <w:szCs w:val="24"/>
        </w:rPr>
        <w:t>10. Jakakolwiek przerwa w realizacji przedmiotu umowy wynikająca z braku Podwykonawcy będzie traktowana jako przerwa wynikająca z przyczyn zależnych od Wykonawcy i nie może stanowić podstawy do zmiany terminu zakończenia robót.</w:t>
      </w:r>
    </w:p>
    <w:p>
      <w:pPr>
        <w:pStyle w:val="Normal"/>
        <w:spacing w:lineRule="auto" w:line="276" w:before="0" w:after="120"/>
        <w:ind w:left="0" w:hanging="0"/>
        <w:jc w:val="both"/>
        <w:rPr>
          <w:szCs w:val="24"/>
        </w:rPr>
      </w:pPr>
      <w:r>
        <w:rPr>
          <w:szCs w:val="24"/>
        </w:rPr>
        <w:t>11. Umowy Wykonawcy z podwykonawcami, podwykonawcami lub dalszymi podwykonawcami powinny być zawarte na piśmie pod rygorem nieważności.</w:t>
      </w:r>
    </w:p>
    <w:p>
      <w:pPr>
        <w:pStyle w:val="Normal"/>
        <w:spacing w:lineRule="auto" w:line="276" w:before="0" w:after="120"/>
        <w:ind w:left="0" w:hanging="0"/>
        <w:jc w:val="both"/>
        <w:rPr>
          <w:color w:val="FF0000"/>
          <w:szCs w:val="24"/>
        </w:rPr>
      </w:pPr>
      <w:r>
        <w:rPr>
          <w:szCs w:val="24"/>
        </w:rPr>
        <w:t xml:space="preserve">12. Termin zapłaty wynagrodzenia podwykonawcy lub dalszemu podwykonawcy przewidziany w umowie </w:t>
        <w:br/>
        <w:t>o podwykonawstwo nie może być dłuższy niż 21 dni od dnia doręczenia Wykonawcy, podwykonawcy lub dalszemu podwykonawcy faktury VAT lub rachunku, potwierdzających wykonanie zleconej podwykonawcy lub dalszemu podwykonawcy dostawy, usługi lub roboty budowlanej. Jeżeli termin zapłaty wynagrodzenia Podwykonawcy lub dalszemu podwykonawcy jest dłuższy niż 21 dni zamawiający informuje o tym wykonawcę lub podwykonawcę i wzywa go do doprowadzenia do zmiany tej umowy pod rygorem wystąpienia o zapłatę kary umownej.</w:t>
      </w:r>
    </w:p>
    <w:p>
      <w:pPr>
        <w:pStyle w:val="Normal"/>
        <w:spacing w:lineRule="auto" w:line="276" w:before="0" w:after="120"/>
        <w:ind w:left="0" w:hanging="0"/>
        <w:jc w:val="both"/>
        <w:rPr>
          <w:szCs w:val="24"/>
        </w:rPr>
      </w:pPr>
      <w:r>
        <w:rPr>
          <w:szCs w:val="24"/>
        </w:rPr>
        <w:t>13. Wykonawca jest odpowiedzialny za działania, zaniechania, uchybienia i zaniedbania podwykonawców jak za własne. Na roboty wykonane przez podwykonawców gwarancji udziela Wykonawca, który ponosi wobec Zamawiającego pełną odpowiedzialność z tytułu niewykonania lub nienależytego wykonania robót przez podwykonawców. Wykonawca zobowiązany jest zapewnić właściwą koordynację robót powierzonych poszczególnym podwykonawcom.</w:t>
      </w:r>
    </w:p>
    <w:p>
      <w:pPr>
        <w:pStyle w:val="Normal"/>
        <w:spacing w:lineRule="auto" w:line="276" w:before="0" w:after="120"/>
        <w:ind w:left="0" w:hanging="0"/>
        <w:jc w:val="both"/>
        <w:rPr>
          <w:szCs w:val="24"/>
        </w:rPr>
      </w:pPr>
      <w:r>
        <w:rPr>
          <w:szCs w:val="24"/>
        </w:rPr>
        <w:t xml:space="preserve">14. Jeżeli zmiana albo rezygnacja z podwykonawcy dotyczy podmiotu, na którego zasoby wykonawca powoływał się, na zasadach określonych w art. 22a ust. 1, w celu wykazania spełniania warunków udziału </w:t>
        <w:br/>
        <w:t>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pPr>
        <w:pStyle w:val="Normal"/>
        <w:spacing w:lineRule="auto" w:line="276" w:before="0" w:after="120"/>
        <w:ind w:left="0" w:hanging="0"/>
        <w:jc w:val="both"/>
        <w:rPr>
          <w:szCs w:val="24"/>
        </w:rPr>
      </w:pPr>
      <w:r>
        <w:rPr>
          <w:szCs w:val="24"/>
        </w:rPr>
        <w:t xml:space="preserve">15. W przypadku powierzenia przez Wykonawcę realizacji zadania Podwykonawcy, dalszemu Podwykonawcy, Wykonawca, Podwykonawca, dalszy Podwykonawca zobowiązany jest do dokonania we własnym zakresie zapłaty wynagrodzenia należnego Podwykonawcy, dalszemu Podwykonawcy </w:t>
        <w:br/>
        <w:t>z zachowaniem terminów płatności określonych w umowie z Podwykonawcą, dalszym Podwykonawcą.</w:t>
      </w:r>
    </w:p>
    <w:p>
      <w:pPr>
        <w:pStyle w:val="Normal"/>
        <w:spacing w:lineRule="auto" w:line="276" w:before="0" w:after="120"/>
        <w:ind w:left="0" w:hanging="0"/>
        <w:jc w:val="both"/>
        <w:rPr>
          <w:szCs w:val="24"/>
        </w:rPr>
      </w:pPr>
      <w:r>
        <w:rPr>
          <w:szCs w:val="24"/>
        </w:rPr>
        <w:t xml:space="preserve">16. Zamawiający dokonuje bezpośredniej zapłaty wymagalnego wynagrodzenia przysługującego podwykonawcy lub dalszemu podwykonawcy, który zawarł zaakceptowaną przez Zamawiającego umowę </w:t>
        <w:br/>
        <w:t>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na zasadach określonych a w art. 143c ustawy Prawo zamówień publicznych.</w:t>
      </w:r>
    </w:p>
    <w:p>
      <w:pPr>
        <w:pStyle w:val="Normal"/>
        <w:spacing w:lineRule="auto" w:line="276" w:before="0" w:after="120"/>
        <w:ind w:left="0" w:hanging="0"/>
        <w:jc w:val="both"/>
        <w:rPr>
          <w:szCs w:val="24"/>
        </w:rPr>
      </w:pPr>
      <w:r>
        <w:rPr>
          <w:szCs w:val="24"/>
        </w:rPr>
        <w:t>17. Postanowienia niniejszego paragrafu stosuje się odpowiednio do zmian zawartych umów podwykonawczych oraz zmian zakresu zadania powierzonego do wykonania przez podwykonawców.</w:t>
      </w:r>
    </w:p>
    <w:p>
      <w:pPr>
        <w:pStyle w:val="Normal"/>
        <w:spacing w:lineRule="auto" w:line="276" w:before="0" w:after="120"/>
        <w:ind w:left="0" w:hanging="0"/>
        <w:jc w:val="both"/>
        <w:rPr>
          <w:szCs w:val="24"/>
        </w:rPr>
      </w:pPr>
      <w:r>
        <w:rPr>
          <w:szCs w:val="24"/>
        </w:rPr>
        <w:t xml:space="preserve">18. Wynagrodzenie, o którym mowa w ust. 16, dotyczy wyłącznie należności powstałych po zaakceptowaniu przez Zamawiającego umowy o podwykonawstwo, której przedmiotem są roboty budowlane, lub po przedłożeniu Zamawiającemu poświadczonej za zgodność z oryginałem kopii umowy </w:t>
        <w:br/>
        <w:t>o podwykonawstwo, której przedmiotem są dostawy lub usługi.</w:t>
      </w:r>
    </w:p>
    <w:p>
      <w:pPr>
        <w:pStyle w:val="Normal"/>
        <w:spacing w:lineRule="auto" w:line="276" w:before="0" w:after="120"/>
        <w:ind w:left="0" w:hanging="0"/>
        <w:jc w:val="both"/>
        <w:rPr>
          <w:szCs w:val="24"/>
        </w:rPr>
      </w:pPr>
      <w:r>
        <w:rPr>
          <w:szCs w:val="24"/>
        </w:rPr>
        <w:t>19. Bezpośrednia zapłata obejmuje wyłącznie należne wynagrodzenie, bez odsetek, należnych podwykonawcy lub dalszemu podwykonawcy.</w:t>
      </w:r>
    </w:p>
    <w:p>
      <w:pPr>
        <w:pStyle w:val="Normal"/>
        <w:spacing w:lineRule="auto" w:line="276" w:before="0" w:after="120"/>
        <w:ind w:left="0" w:hanging="0"/>
        <w:jc w:val="both"/>
        <w:rPr>
          <w:szCs w:val="24"/>
        </w:rPr>
      </w:pPr>
      <w:r>
        <w:rPr>
          <w:szCs w:val="24"/>
        </w:rPr>
        <w:t>20. W przypadku zatrudnienia przez Wykonawcę do realizacji zamówienia w zakresie umownych robót podwykonawców, Wykonawca zobowiązany jest załączyć do wystawionej przez siebie faktury:</w:t>
      </w:r>
    </w:p>
    <w:p>
      <w:pPr>
        <w:pStyle w:val="Normal"/>
        <w:spacing w:lineRule="auto" w:line="276" w:before="0" w:after="120"/>
        <w:ind w:left="0" w:hanging="0"/>
        <w:jc w:val="both"/>
        <w:rPr>
          <w:szCs w:val="24"/>
        </w:rPr>
      </w:pPr>
      <w:r>
        <w:rPr>
          <w:szCs w:val="24"/>
        </w:rPr>
        <w:t>1) zestawienie należności dla wszystkich podwykonawców wraz z kopiami wystawionych przez nich faktur;</w:t>
      </w:r>
    </w:p>
    <w:p>
      <w:pPr>
        <w:pStyle w:val="Normal"/>
        <w:spacing w:lineRule="auto" w:line="276" w:before="0" w:after="120"/>
        <w:ind w:left="0" w:hanging="0"/>
        <w:jc w:val="both"/>
        <w:rPr>
          <w:szCs w:val="24"/>
        </w:rPr>
      </w:pPr>
      <w:r>
        <w:rPr>
          <w:szCs w:val="24"/>
        </w:rPr>
        <w:t>2) dowodów zapłaty zobowiązań wobec podwykonawców lub dalszych podwykonawców wynikających z faktur podwykonawców. Dowodem zapłaty jest kopia polecenia przelewu.</w:t>
      </w:r>
    </w:p>
    <w:p>
      <w:pPr>
        <w:pStyle w:val="Normal"/>
        <w:spacing w:lineRule="auto" w:line="276" w:before="0" w:after="120"/>
        <w:ind w:left="0" w:hanging="0"/>
        <w:jc w:val="both"/>
        <w:rPr>
          <w:szCs w:val="24"/>
        </w:rPr>
      </w:pPr>
      <w:r>
        <w:rPr>
          <w:szCs w:val="24"/>
        </w:rPr>
        <w:t>3) oświadczenia podwykonawców lub dalszych podwykonawców, złożone nie wcześniej niż w dniu wystawienia faktury przez Wykonawcę, że Wykonawca nie zalega z żadnymi zobowiązaniami w stosunku do podwykonawców, lub dalszych podwykonawców wynikającymi z umowy podwykonawstwa.</w:t>
      </w:r>
    </w:p>
    <w:p>
      <w:pPr>
        <w:pStyle w:val="Normal"/>
        <w:spacing w:lineRule="auto" w:line="276" w:before="0" w:after="120"/>
        <w:ind w:left="0" w:hanging="0"/>
        <w:jc w:val="both"/>
        <w:rPr>
          <w:szCs w:val="24"/>
        </w:rPr>
      </w:pPr>
      <w:r>
        <w:rPr>
          <w:szCs w:val="24"/>
        </w:rPr>
        <w:t>21. Zamawiający jest uprawniony do wstrzymania zapłaty wynagrodzenia na rzecz Wykonawcy do czasu uregulowania jego zobowiązań wobec podwykonawców lub dalszych podwykonawców. Jeśli opóźnienie w zapłacie wymagalnego należnego podwykonawcom lub dalszym wynagrodzenia przekroczy 30 dni, Zamawiający ma prawo dokonać zapłaty kwoty należnej Podwykonawcom bezpośrednio na jego rzecz pomniejszając Wykonawcy wynagrodzenie o zapłacone Podwykonawcy kwoty.</w:t>
      </w:r>
    </w:p>
    <w:p>
      <w:pPr>
        <w:pStyle w:val="Normal"/>
        <w:spacing w:lineRule="auto" w:line="276" w:before="0" w:after="120"/>
        <w:ind w:left="0" w:hanging="0"/>
        <w:jc w:val="both"/>
        <w:rPr>
          <w:szCs w:val="24"/>
        </w:rPr>
      </w:pPr>
      <w:r>
        <w:rPr>
          <w:szCs w:val="24"/>
        </w:rPr>
        <w:t>22. W razie odmowy zapłaty wynagrodzenia na rzecz podwykonawcy lub dalszemu podwykonawcy, Wykonawca przedstawi Zamawiającemu przyczyny odmowy zapłaty (uwagi) oraz szczegółowo umotywuje Zamawiającemu, iż nie narusza to prawa ani warunków jego umowy z podwykonawcą w terminie 7 dni, od dnia wystąpienia o uzasadnienie przez Zamawiającego. Zamawiającemu przysługuje w takiej sytuacji prawo szczegółowego zbadania wywiązywania się Wykonawcy z warunków umowy z podwykonawcą, a także domagania się od podwykonawcy złożenia stosownych oświadczeń oraz udostępnienia dokumentów umownych. Bezpośrednia zapłata obejmuje wyłącznie należne wynagrodzenie, bez odsetek, należnych podwykonawcy lub dalszemu podwykonawcy.</w:t>
      </w:r>
    </w:p>
    <w:p>
      <w:pPr>
        <w:pStyle w:val="Normal"/>
        <w:spacing w:lineRule="auto" w:line="276" w:before="0" w:after="120"/>
        <w:ind w:left="0" w:hanging="0"/>
        <w:jc w:val="both"/>
        <w:rPr>
          <w:szCs w:val="24"/>
        </w:rPr>
      </w:pPr>
      <w:r>
        <w:rPr>
          <w:szCs w:val="24"/>
        </w:rPr>
        <w:t>23. Zamawiający nie ponosi odpowiedzialności za zapłatę wynagrodzenia za roboty budowlane wykonane przez Podwykonawcę w przypadku:</w:t>
      </w:r>
    </w:p>
    <w:p>
      <w:pPr>
        <w:pStyle w:val="Normal"/>
        <w:spacing w:lineRule="auto" w:line="276" w:before="0" w:after="120"/>
        <w:ind w:left="0" w:hanging="0"/>
        <w:jc w:val="both"/>
        <w:rPr>
          <w:szCs w:val="24"/>
        </w:rPr>
      </w:pPr>
      <w:r>
        <w:rPr>
          <w:szCs w:val="24"/>
        </w:rPr>
        <w:t>1) zawarcia umowy z Podwykonawcą lub zmiany Podwykonawcy, bez zgody Zamawiającego;</w:t>
      </w:r>
    </w:p>
    <w:p>
      <w:pPr>
        <w:pStyle w:val="Normal"/>
        <w:spacing w:lineRule="auto" w:line="276" w:before="0" w:after="120"/>
        <w:ind w:left="0" w:hanging="0"/>
        <w:jc w:val="both"/>
        <w:rPr>
          <w:szCs w:val="24"/>
        </w:rPr>
      </w:pPr>
      <w:r>
        <w:rPr>
          <w:szCs w:val="24"/>
        </w:rPr>
        <w:t>2) zmiany warunków umowy z Podwykonawcą bez zgody Zamawiającego;</w:t>
      </w:r>
    </w:p>
    <w:p>
      <w:pPr>
        <w:pStyle w:val="Normal"/>
        <w:spacing w:lineRule="auto" w:line="276" w:before="0" w:after="120"/>
        <w:ind w:left="0" w:hanging="0"/>
        <w:jc w:val="both"/>
        <w:rPr>
          <w:szCs w:val="24"/>
        </w:rPr>
      </w:pPr>
      <w:r>
        <w:rPr>
          <w:szCs w:val="24"/>
        </w:rPr>
        <w:t xml:space="preserve">3) nieuwzględnienia sprzeciwu lub zastrzeżeń do umowy z Podwykonawcą zgłoszonych przez Zamawiającego lub innego naruszenia art. 647 </w:t>
      </w:r>
      <w:r>
        <w:rPr>
          <w:szCs w:val="24"/>
          <w:vertAlign w:val="subscript"/>
        </w:rPr>
        <w:t>1</w:t>
      </w:r>
      <w:r>
        <w:rPr>
          <w:szCs w:val="24"/>
        </w:rPr>
        <w:t xml:space="preserve"> Kodeksu cywilnego.</w:t>
      </w:r>
    </w:p>
    <w:p>
      <w:pPr>
        <w:pStyle w:val="Normal"/>
        <w:spacing w:lineRule="auto" w:line="276" w:before="0" w:after="120"/>
        <w:ind w:left="0" w:hanging="0"/>
        <w:jc w:val="both"/>
        <w:rPr>
          <w:szCs w:val="24"/>
        </w:rPr>
      </w:pPr>
      <w:r>
        <w:rPr>
          <w:szCs w:val="24"/>
        </w:rPr>
        <w:t>24. Wykonawca zobowiązuje się koordynować prace realizowane przez podwykonawców, z zastrzeżeniem, że Stroną dla Zamawiającego będzie w każdym przypadku Wykonawca.</w:t>
      </w:r>
    </w:p>
    <w:p>
      <w:pPr>
        <w:pStyle w:val="Normal"/>
        <w:spacing w:lineRule="auto" w:line="276" w:before="0" w:after="120"/>
        <w:ind w:left="0" w:hanging="0"/>
        <w:jc w:val="both"/>
        <w:rPr>
          <w:szCs w:val="24"/>
        </w:rPr>
      </w:pPr>
      <w:r>
        <w:rPr>
          <w:szCs w:val="24"/>
        </w:rPr>
        <w:t>25. Konieczność 3-krotnego dokonywania bezpośredniej zapłaty podwykonawcy lub dalszemu podwykonawcy, o których mowa w ust.13 lub konieczność dokonania bezpośrednich zapłat na sumę większą niż 5% wartości umowy w sprawie zamówienia publicznego może stanowić podstawę do odstąpienia od umowy w sprawie zamówienia publicznego przez Zamawiającego.</w:t>
      </w:r>
    </w:p>
    <w:p>
      <w:pPr>
        <w:pStyle w:val="Normal"/>
        <w:spacing w:lineRule="auto" w:line="276"/>
        <w:ind w:left="0" w:hanging="0"/>
        <w:jc w:val="both"/>
        <w:rPr>
          <w:szCs w:val="24"/>
        </w:rPr>
      </w:pPr>
      <w:r>
        <w:rPr>
          <w:szCs w:val="24"/>
        </w:rPr>
        <w:t>28. Projekty umów o podwykonawstwo, jej zmiany lub kopie poświadczonych umów, aneksów Wykonawca przekazywać będzie wyłącznie przez kancelarię Zamawiającego.</w:t>
      </w:r>
    </w:p>
    <w:p>
      <w:pPr>
        <w:pStyle w:val="Normal"/>
        <w:spacing w:lineRule="auto" w:line="276"/>
        <w:ind w:left="0" w:hanging="0"/>
        <w:jc w:val="both"/>
        <w:rPr>
          <w:szCs w:val="24"/>
        </w:rPr>
      </w:pPr>
      <w:r>
        <w:rPr>
          <w:szCs w:val="24"/>
        </w:rPr>
      </w:r>
    </w:p>
    <w:p>
      <w:pPr>
        <w:pStyle w:val="Artyku"/>
        <w:numPr>
          <w:ilvl w:val="0"/>
          <w:numId w:val="1"/>
        </w:numPr>
        <w:rPr/>
      </w:pPr>
      <w:bookmarkStart w:id="13" w:name="_Toc496698274"/>
      <w:r>
        <w:rPr/>
        <w:t>Miejsce oraz termin składania ofert</w:t>
      </w:r>
      <w:bookmarkEnd w:id="13"/>
    </w:p>
    <w:p>
      <w:pPr>
        <w:pStyle w:val="Normal"/>
        <w:spacing w:lineRule="auto" w:line="252"/>
        <w:ind w:left="0" w:firstLine="284"/>
        <w:rPr>
          <w:rFonts w:eastAsia="Calibri"/>
          <w:b/>
          <w:b/>
          <w:bCs/>
          <w:szCs w:val="18"/>
        </w:rPr>
      </w:pPr>
      <w:r>
        <w:rPr>
          <w:rFonts w:eastAsia="Calibri"/>
          <w:b/>
          <w:bCs/>
          <w:szCs w:val="18"/>
        </w:rPr>
      </w:r>
    </w:p>
    <w:p>
      <w:pPr>
        <w:pStyle w:val="Normal"/>
        <w:spacing w:lineRule="auto" w:line="276" w:before="0" w:after="120"/>
        <w:ind w:left="0" w:hanging="0"/>
        <w:jc w:val="both"/>
        <w:rPr/>
      </w:pPr>
      <w:r>
        <w:rPr>
          <w:szCs w:val="18"/>
        </w:rPr>
        <w:t xml:space="preserve">1. Oferty muszą być złożone w siedzibie </w:t>
      </w:r>
      <w:r>
        <w:rPr>
          <w:b/>
          <w:bCs/>
          <w:szCs w:val="18"/>
        </w:rPr>
        <w:t xml:space="preserve">Zamawiającego: Urząd  Gminy w Miłosławiu, </w:t>
        <w:br/>
        <w:t xml:space="preserve">ul. Wrzesińska 19 – </w:t>
      </w:r>
      <w:r>
        <w:rPr>
          <w:bCs/>
          <w:szCs w:val="18"/>
        </w:rPr>
        <w:t xml:space="preserve">Sekretariat pokój nr 24, </w:t>
      </w:r>
      <w:r>
        <w:rPr>
          <w:b/>
          <w:bCs/>
          <w:szCs w:val="18"/>
        </w:rPr>
        <w:t xml:space="preserve">w terminie do dnia </w:t>
      </w:r>
      <w:r>
        <w:rPr>
          <w:b/>
          <w:bCs/>
          <w:szCs w:val="18"/>
        </w:rPr>
        <w:t>10 września</w:t>
      </w:r>
      <w:r>
        <w:rPr>
          <w:b/>
          <w:bCs/>
          <w:color w:val="000000"/>
          <w:szCs w:val="18"/>
        </w:rPr>
        <w:t xml:space="preserve"> 2018 roku, do godziny 10:00</w:t>
      </w:r>
      <w:r>
        <w:rPr>
          <w:bCs/>
          <w:color w:val="000000"/>
          <w:szCs w:val="18"/>
        </w:rPr>
        <w:t>.</w:t>
      </w:r>
    </w:p>
    <w:p>
      <w:pPr>
        <w:pStyle w:val="Normal"/>
        <w:spacing w:lineRule="auto" w:line="276" w:before="0" w:after="120"/>
        <w:ind w:left="0" w:hanging="0"/>
        <w:jc w:val="both"/>
        <w:rPr>
          <w:szCs w:val="18"/>
        </w:rPr>
      </w:pPr>
      <w:r>
        <w:rPr>
          <w:szCs w:val="18"/>
        </w:rPr>
        <w:t>2. Ofertom będą nadawane numery wg kolejności wpływu.</w:t>
      </w:r>
    </w:p>
    <w:p>
      <w:pPr>
        <w:pStyle w:val="Normal"/>
        <w:spacing w:lineRule="auto" w:line="276" w:before="0" w:after="120"/>
        <w:ind w:left="0" w:hanging="0"/>
        <w:jc w:val="both"/>
        <w:rPr>
          <w:szCs w:val="18"/>
        </w:rPr>
      </w:pPr>
      <w:r>
        <w:rPr>
          <w:szCs w:val="18"/>
        </w:rPr>
        <w:t>3. Wykonawca może, przed upływem terminu do składania ofert, zmienić lub wycofać ofertę. mianowicie:</w:t>
      </w:r>
    </w:p>
    <w:p>
      <w:pPr>
        <w:pStyle w:val="Normal"/>
        <w:spacing w:lineRule="auto" w:line="276" w:before="0" w:after="120"/>
        <w:ind w:left="0" w:hanging="0"/>
        <w:jc w:val="both"/>
        <w:rPr>
          <w:szCs w:val="18"/>
        </w:rPr>
      </w:pPr>
      <w:r>
        <w:rPr>
          <w:szCs w:val="18"/>
        </w:rPr>
        <w:t xml:space="preserve">1) Wykonawca może wprowadzić zmiany do złożonej oferty pod warunkiem, że Zamawiający otrzyma pisemne zawiadomienie o wprowadzeniu zmian przed terminem składania ofert. Powiadomienie </w:t>
        <w:br/>
        <w:t>o wprowadzeniu zmian musi być złożone według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pPr>
        <w:pStyle w:val="Normal"/>
        <w:spacing w:lineRule="auto" w:line="276" w:before="0" w:after="120"/>
        <w:ind w:left="0" w:hanging="0"/>
        <w:jc w:val="both"/>
        <w:rPr>
          <w:szCs w:val="18"/>
        </w:rPr>
      </w:pPr>
      <w:r>
        <w:rPr>
          <w:szCs w:val="18"/>
        </w:rPr>
        <w:t>2) Wykonawca ma prawo przed upływem terminu składania ofert wycofać się z postępowania poprzez złożenie pisemnego powiadomienia, według tych samych zasad jak wprowadzanie zmian z napisem na kopercie "WYCOFANIE". Koperty wycofywanych ofert nie będą otwierane.</w:t>
      </w:r>
    </w:p>
    <w:p>
      <w:pPr>
        <w:pStyle w:val="Normal"/>
        <w:spacing w:lineRule="auto" w:line="276" w:before="0" w:after="120"/>
        <w:ind w:left="0" w:hanging="0"/>
        <w:jc w:val="both"/>
        <w:rPr>
          <w:szCs w:val="18"/>
        </w:rPr>
      </w:pPr>
      <w:r>
        <w:rPr>
          <w:szCs w:val="18"/>
        </w:rPr>
        <w:t>4. Oferta otrzymana przez Zamawiającego po terminie składania ofert zostanie zwrócona Wykonawcy bez otwierania.</w:t>
      </w:r>
    </w:p>
    <w:p>
      <w:pPr>
        <w:pStyle w:val="Normal"/>
        <w:spacing w:lineRule="auto" w:line="276" w:before="0" w:after="120"/>
        <w:ind w:left="0" w:hanging="0"/>
        <w:jc w:val="both"/>
        <w:rPr>
          <w:szCs w:val="18"/>
        </w:rPr>
      </w:pPr>
      <w:r>
        <w:rPr>
          <w:szCs w:val="18"/>
        </w:rPr>
        <w:t xml:space="preserve">5. Zamawiający informuje, iż zgodnie z art. 8 w zw. z art. 96 ust. 3 ustawy PZP oferty składane </w:t>
        <w:br/>
        <w:t xml:space="preserve">w postępowaniu o zamówienie publiczne są jawne i podlegają udostępnieniu od chwili ich otwarcia, </w:t>
        <w:br/>
        <w:t>z wyjątkiem informacji stanowiących tajemnicę przedsiębiorstwa 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 przedsiębiorstwa.</w:t>
      </w:r>
    </w:p>
    <w:p>
      <w:pPr>
        <w:pStyle w:val="Normal"/>
        <w:spacing w:lineRule="auto" w:line="276" w:before="0" w:after="120"/>
        <w:ind w:left="0" w:hanging="0"/>
        <w:jc w:val="both"/>
        <w:rPr>
          <w:szCs w:val="18"/>
        </w:rPr>
      </w:pPr>
      <w:r>
        <w:rPr>
          <w:szCs w:val="18"/>
        </w:rPr>
        <w:t xml:space="preserve">6. 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w:t>
        <w:br/>
        <w:t xml:space="preserve">że wszelkie oświadczenia i zaświadczenia składane w trakcie niniejszego postępowania są jawne, bez zastrzeżeń. </w:t>
      </w:r>
    </w:p>
    <w:p>
      <w:pPr>
        <w:pStyle w:val="Normal"/>
        <w:spacing w:lineRule="auto" w:line="276"/>
        <w:ind w:left="0" w:hanging="0"/>
        <w:jc w:val="both"/>
        <w:rPr/>
      </w:pPr>
      <w:r>
        <w:rPr>
          <w:szCs w:val="18"/>
        </w:rPr>
        <w:t>7. Ofertę należy umieścić w zamkniętym opakowaniu, uniemożliwiającym odczytanie zawartości bez uszkodzenia tego opakowania. Każda oferta winna być złożona w odrębnej kopercie wraz z wymaganymi dokumentami.</w:t>
      </w:r>
    </w:p>
    <w:p>
      <w:pPr>
        <w:pStyle w:val="Normal"/>
        <w:spacing w:lineRule="auto" w:line="276"/>
        <w:ind w:left="0" w:hanging="0"/>
        <w:jc w:val="both"/>
        <w:rPr>
          <w:szCs w:val="18"/>
        </w:rPr>
      </w:pPr>
      <w:r>
        <w:rPr>
          <w:szCs w:val="18"/>
        </w:rPr>
      </w:r>
    </w:p>
    <w:p>
      <w:pPr>
        <w:pStyle w:val="Normal"/>
        <w:ind w:left="0" w:hanging="0"/>
        <w:jc w:val="center"/>
        <w:rPr>
          <w:szCs w:val="18"/>
        </w:rPr>
      </w:pPr>
      <w:r>
        <w:rPr>
          <w:szCs w:val="18"/>
        </w:rPr>
      </w:r>
    </w:p>
    <w:p>
      <w:pPr>
        <w:pStyle w:val="Normal"/>
        <w:ind w:left="0" w:hanging="0"/>
        <w:jc w:val="center"/>
        <w:rPr>
          <w:szCs w:val="18"/>
        </w:rPr>
      </w:pPr>
      <w:r>
        <w:rPr>
          <w:szCs w:val="18"/>
        </w:rPr>
        <w:t>Opakowanie winno być oznaczone nazwą (firmą) i adresem Wykonawcy, zaadresowane</w:t>
      </w:r>
    </w:p>
    <w:p>
      <w:pPr>
        <w:pStyle w:val="Normal"/>
        <w:ind w:left="0" w:hanging="0"/>
        <w:jc w:val="center"/>
        <w:rPr>
          <w:b/>
          <w:b/>
          <w:bCs/>
          <w:szCs w:val="18"/>
        </w:rPr>
      </w:pPr>
      <w:r>
        <w:rPr>
          <w:b/>
          <w:bCs/>
          <w:szCs w:val="18"/>
        </w:rPr>
        <w:t>Urząd Gminy w Miłosławiu ul. Wrzesińska 19 , 62-320 Miłosław</w:t>
      </w:r>
    </w:p>
    <w:p>
      <w:pPr>
        <w:pStyle w:val="Normal"/>
        <w:ind w:left="0" w:hanging="0"/>
        <w:jc w:val="center"/>
        <w:rPr>
          <w:szCs w:val="18"/>
        </w:rPr>
      </w:pPr>
      <w:r>
        <w:rPr>
          <w:szCs w:val="18"/>
        </w:rPr>
        <w:t>oraz opisane:</w:t>
      </w:r>
    </w:p>
    <w:p>
      <w:pPr>
        <w:pStyle w:val="Normal"/>
        <w:ind w:left="0" w:hanging="0"/>
        <w:jc w:val="both"/>
        <w:rPr>
          <w:sz w:val="20"/>
          <w:szCs w:val="14"/>
        </w:rPr>
      </w:pPr>
      <w:r>
        <w:rPr>
          <w:sz w:val="20"/>
          <w:szCs w:val="14"/>
        </w:rPr>
      </w:r>
    </w:p>
    <w:p>
      <w:pPr>
        <w:pStyle w:val="Normal"/>
        <w:spacing w:lineRule="auto" w:line="252"/>
        <w:ind w:left="0" w:hanging="0"/>
        <w:jc w:val="center"/>
        <w:rPr>
          <w:color w:val="000000"/>
        </w:rPr>
      </w:pPr>
      <w:r>
        <w:rPr>
          <w:b/>
          <w:bCs/>
          <w:color w:val="000000"/>
          <w:sz w:val="28"/>
          <w:szCs w:val="28"/>
        </w:rPr>
        <w:t>Termomodernizacja budynku Urzędu Gminy w Miłosławiu</w:t>
      </w:r>
    </w:p>
    <w:p>
      <w:pPr>
        <w:pStyle w:val="Normal"/>
        <w:ind w:left="0" w:hanging="0"/>
        <w:jc w:val="both"/>
        <w:rPr>
          <w:b/>
          <w:b/>
          <w:bCs/>
          <w:szCs w:val="28"/>
        </w:rPr>
      </w:pPr>
      <w:r>
        <w:rPr>
          <w:b/>
          <w:bCs/>
          <w:szCs w:val="28"/>
        </w:rPr>
      </w:r>
    </w:p>
    <w:p>
      <w:pPr>
        <w:pStyle w:val="Normal"/>
        <w:ind w:left="0" w:hanging="0"/>
        <w:jc w:val="center"/>
        <w:rPr/>
      </w:pPr>
      <w:r>
        <w:rPr>
          <w:b/>
          <w:bCs/>
          <w:szCs w:val="18"/>
        </w:rPr>
        <w:t xml:space="preserve">Nie otwierać przed </w:t>
      </w:r>
      <w:r>
        <w:rPr>
          <w:b/>
          <w:bCs/>
          <w:szCs w:val="18"/>
        </w:rPr>
        <w:t>10 września</w:t>
      </w:r>
      <w:r>
        <w:rPr>
          <w:b/>
          <w:bCs/>
          <w:color w:val="CE181E"/>
          <w:szCs w:val="18"/>
        </w:rPr>
        <w:t xml:space="preserve"> </w:t>
      </w:r>
      <w:r>
        <w:rPr>
          <w:b/>
          <w:bCs/>
          <w:szCs w:val="18"/>
        </w:rPr>
        <w:t>2018 roku, do godziny 10:30</w:t>
      </w:r>
    </w:p>
    <w:p>
      <w:pPr>
        <w:pStyle w:val="Normal"/>
        <w:ind w:left="0" w:hanging="0"/>
        <w:jc w:val="both"/>
        <w:rPr>
          <w:b/>
          <w:b/>
          <w:bCs/>
          <w:sz w:val="36"/>
        </w:rPr>
      </w:pPr>
      <w:r>
        <w:rPr>
          <w:b/>
          <w:bCs/>
          <w:sz w:val="36"/>
        </w:rPr>
      </w:r>
    </w:p>
    <w:p>
      <w:pPr>
        <w:pStyle w:val="Normal"/>
        <w:spacing w:before="0" w:after="120"/>
        <w:ind w:left="0" w:hanging="0"/>
        <w:jc w:val="both"/>
        <w:rPr/>
      </w:pPr>
      <w:r>
        <w:rPr>
          <w:szCs w:val="18"/>
        </w:rPr>
        <w:t xml:space="preserve">8. Publiczna sesja otwarcia ofert odbędzie się w siedzibie Zamawiającego: </w:t>
      </w:r>
      <w:r>
        <w:rPr>
          <w:b/>
          <w:bCs/>
          <w:szCs w:val="18"/>
        </w:rPr>
        <w:t xml:space="preserve">Sala Narad dnia </w:t>
      </w:r>
      <w:r>
        <w:rPr>
          <w:b/>
          <w:bCs/>
          <w:szCs w:val="18"/>
        </w:rPr>
        <w:t>10 września</w:t>
      </w:r>
      <w:r>
        <w:rPr>
          <w:b/>
          <w:bCs/>
          <w:color w:val="CE181E"/>
          <w:szCs w:val="18"/>
        </w:rPr>
        <w:t xml:space="preserve"> </w:t>
      </w:r>
      <w:r>
        <w:rPr>
          <w:b/>
          <w:bCs/>
          <w:color w:val="000000"/>
          <w:szCs w:val="18"/>
        </w:rPr>
        <w:t>2018r., o godzinie 10:30.</w:t>
      </w:r>
    </w:p>
    <w:p>
      <w:pPr>
        <w:pStyle w:val="Normal"/>
        <w:ind w:left="0" w:hanging="0"/>
        <w:jc w:val="both"/>
        <w:rPr>
          <w:szCs w:val="18"/>
        </w:rPr>
      </w:pPr>
      <w:r>
        <w:rPr>
          <w:szCs w:val="18"/>
        </w:rPr>
        <w:t>9. Zamawiający bezpośrednio przed otwarciem ofert poda kwotę, jaką zamierza przeznaczyć na sfinansowanie zamówienia.</w:t>
      </w:r>
    </w:p>
    <w:p>
      <w:pPr>
        <w:pStyle w:val="Normal"/>
        <w:ind w:left="0" w:hanging="0"/>
        <w:rPr>
          <w:rFonts w:eastAsia="Calibri"/>
          <w:sz w:val="18"/>
          <w:szCs w:val="18"/>
        </w:rPr>
      </w:pPr>
      <w:r>
        <w:rPr>
          <w:rFonts w:eastAsia="Calibri"/>
          <w:sz w:val="18"/>
          <w:szCs w:val="18"/>
        </w:rPr>
      </w:r>
    </w:p>
    <w:p>
      <w:pPr>
        <w:pStyle w:val="Normal"/>
        <w:ind w:left="360" w:hanging="0"/>
        <w:rPr>
          <w:rFonts w:eastAsia="Calibri"/>
          <w:sz w:val="18"/>
          <w:szCs w:val="18"/>
        </w:rPr>
      </w:pPr>
      <w:r>
        <w:rPr>
          <w:rFonts w:eastAsia="Calibri"/>
          <w:sz w:val="18"/>
          <w:szCs w:val="18"/>
        </w:rPr>
      </w:r>
    </w:p>
    <w:p>
      <w:pPr>
        <w:pStyle w:val="Artyku"/>
        <w:numPr>
          <w:ilvl w:val="0"/>
          <w:numId w:val="1"/>
        </w:numPr>
        <w:rPr>
          <w:szCs w:val="18"/>
        </w:rPr>
      </w:pPr>
      <w:bookmarkStart w:id="14" w:name="_Toc496698275"/>
      <w:r>
        <w:rPr>
          <w:szCs w:val="18"/>
        </w:rPr>
        <w:t>Opis sposobu obliczenia ceny</w:t>
      </w:r>
      <w:bookmarkEnd w:id="14"/>
    </w:p>
    <w:p>
      <w:pPr>
        <w:pStyle w:val="Normal"/>
        <w:spacing w:lineRule="auto" w:line="252"/>
        <w:ind w:left="0" w:firstLine="426"/>
        <w:jc w:val="both"/>
        <w:rPr>
          <w:rFonts w:eastAsia="Calibri"/>
          <w:b/>
          <w:b/>
          <w:bCs/>
          <w:szCs w:val="18"/>
        </w:rPr>
      </w:pPr>
      <w:r>
        <w:rPr>
          <w:rFonts w:eastAsia="Calibri"/>
          <w:b/>
          <w:bCs/>
          <w:szCs w:val="18"/>
        </w:rPr>
      </w:r>
    </w:p>
    <w:p>
      <w:pPr>
        <w:pStyle w:val="ListParagraph"/>
        <w:numPr>
          <w:ilvl w:val="0"/>
          <w:numId w:val="5"/>
        </w:numPr>
        <w:spacing w:lineRule="auto" w:line="276"/>
        <w:ind w:left="284" w:hanging="284"/>
        <w:jc w:val="both"/>
        <w:rPr>
          <w:szCs w:val="18"/>
        </w:rPr>
      </w:pPr>
      <w:r>
        <w:rPr>
          <w:szCs w:val="18"/>
        </w:rPr>
        <w:t xml:space="preserve">Cenę należy ustalić na podstawie kalkulacji biorąc pod uwagę przedmiot zamówienia. </w:t>
      </w:r>
      <w:r>
        <w:rPr>
          <w:b/>
          <w:szCs w:val="18"/>
        </w:rPr>
        <w:t>Cenę należy podać w formie ryczałtu</w:t>
      </w:r>
      <w:r>
        <w:rPr>
          <w:szCs w:val="18"/>
        </w:rPr>
        <w:t xml:space="preserve">. W związku z powyższym cena oferty musi zawierać wszelkie koszty niezbędne do zrealizowania zamówienia wynikające wprost z </w:t>
      </w:r>
      <w:r>
        <w:rPr>
          <w:b/>
          <w:szCs w:val="18"/>
        </w:rPr>
        <w:t>dokumentacji przetargowej opisującej przedmiot zamówienia</w:t>
      </w:r>
      <w:r>
        <w:rPr>
          <w:szCs w:val="18"/>
        </w:rPr>
        <w:t xml:space="preserve">, jak również w niej nieujęte, a bez których nie można wykonać zamówienia. Będą to w szczególności koszty: </w:t>
      </w:r>
    </w:p>
    <w:p>
      <w:pPr>
        <w:pStyle w:val="Normal"/>
        <w:spacing w:lineRule="auto" w:line="276"/>
        <w:ind w:left="0" w:firstLine="284"/>
        <w:jc w:val="both"/>
        <w:rPr>
          <w:szCs w:val="18"/>
        </w:rPr>
      </w:pPr>
      <w:r>
        <w:rPr>
          <w:szCs w:val="18"/>
        </w:rPr>
        <w:t xml:space="preserve">- wszelkich robót przygotowawczych, </w:t>
      </w:r>
    </w:p>
    <w:p>
      <w:pPr>
        <w:pStyle w:val="Normal"/>
        <w:spacing w:lineRule="auto" w:line="276"/>
        <w:ind w:left="0" w:firstLine="284"/>
        <w:jc w:val="both"/>
        <w:rPr>
          <w:szCs w:val="18"/>
        </w:rPr>
      </w:pPr>
      <w:r>
        <w:rPr>
          <w:szCs w:val="18"/>
        </w:rPr>
        <w:t xml:space="preserve">- prac porządkowych, </w:t>
      </w:r>
    </w:p>
    <w:p>
      <w:pPr>
        <w:pStyle w:val="Normal"/>
        <w:spacing w:lineRule="auto" w:line="276"/>
        <w:ind w:left="0" w:firstLine="284"/>
        <w:jc w:val="both"/>
        <w:rPr>
          <w:szCs w:val="18"/>
        </w:rPr>
      </w:pPr>
      <w:r>
        <w:rPr>
          <w:szCs w:val="18"/>
        </w:rPr>
        <w:t xml:space="preserve">- zagospodarowania placu budowy, </w:t>
      </w:r>
    </w:p>
    <w:p>
      <w:pPr>
        <w:pStyle w:val="Normal"/>
        <w:spacing w:lineRule="auto" w:line="276"/>
        <w:ind w:left="0" w:firstLine="284"/>
        <w:jc w:val="both"/>
        <w:rPr>
          <w:szCs w:val="18"/>
        </w:rPr>
      </w:pPr>
      <w:r>
        <w:rPr>
          <w:szCs w:val="18"/>
        </w:rPr>
        <w:t xml:space="preserve">- utrzymania zaplecza budowy (naprawy, wody, energii elektrycznej, telefonu) </w:t>
      </w:r>
    </w:p>
    <w:p>
      <w:pPr>
        <w:pStyle w:val="Normal"/>
        <w:spacing w:lineRule="auto" w:line="276"/>
        <w:ind w:left="0" w:firstLine="284"/>
        <w:jc w:val="both"/>
        <w:rPr>
          <w:szCs w:val="18"/>
        </w:rPr>
      </w:pPr>
      <w:r>
        <w:rPr>
          <w:szCs w:val="18"/>
        </w:rPr>
        <w:t xml:space="preserve">- dozorowania budowy, </w:t>
      </w:r>
    </w:p>
    <w:p>
      <w:pPr>
        <w:pStyle w:val="Normal"/>
        <w:spacing w:lineRule="auto" w:line="276"/>
        <w:ind w:left="0" w:firstLine="284"/>
        <w:jc w:val="both"/>
        <w:rPr>
          <w:szCs w:val="18"/>
        </w:rPr>
      </w:pPr>
      <w:r>
        <w:rPr>
          <w:szCs w:val="18"/>
        </w:rPr>
        <w:t xml:space="preserve">- wywozu nadmiaru gruzu, </w:t>
      </w:r>
    </w:p>
    <w:p>
      <w:pPr>
        <w:pStyle w:val="Normal"/>
        <w:spacing w:lineRule="auto" w:line="276"/>
        <w:ind w:left="0" w:firstLine="284"/>
        <w:jc w:val="both"/>
        <w:rPr>
          <w:szCs w:val="18"/>
        </w:rPr>
      </w:pPr>
      <w:r>
        <w:rPr>
          <w:szCs w:val="18"/>
        </w:rPr>
        <w:t xml:space="preserve">- projektu organizacji robót, </w:t>
      </w:r>
    </w:p>
    <w:p>
      <w:pPr>
        <w:pStyle w:val="Normal"/>
        <w:spacing w:lineRule="auto" w:line="276"/>
        <w:ind w:left="0" w:firstLine="284"/>
        <w:jc w:val="both"/>
        <w:rPr>
          <w:szCs w:val="18"/>
        </w:rPr>
      </w:pPr>
      <w:r>
        <w:rPr>
          <w:szCs w:val="18"/>
        </w:rPr>
        <w:t xml:space="preserve">- zorganizowanie zaplecza magazynowego w celu przechowywania materiałów budowlanych, </w:t>
      </w:r>
    </w:p>
    <w:p>
      <w:pPr>
        <w:pStyle w:val="Normal"/>
        <w:spacing w:lineRule="auto" w:line="276" w:before="0" w:after="120"/>
        <w:ind w:left="0" w:firstLine="284"/>
        <w:jc w:val="both"/>
        <w:rPr>
          <w:szCs w:val="18"/>
        </w:rPr>
      </w:pPr>
      <w:r>
        <w:rPr>
          <w:szCs w:val="18"/>
        </w:rPr>
        <w:t xml:space="preserve">- innych czynności niezbędnych do wykonania przedmiotu zamówienia. </w:t>
      </w:r>
    </w:p>
    <w:p>
      <w:pPr>
        <w:pStyle w:val="Normal"/>
        <w:spacing w:lineRule="auto" w:line="276" w:before="0" w:after="120"/>
        <w:ind w:left="0" w:hanging="0"/>
        <w:jc w:val="both"/>
        <w:rPr>
          <w:bCs/>
          <w:i/>
          <w:i/>
          <w:szCs w:val="18"/>
        </w:rPr>
      </w:pPr>
      <w:r>
        <w:rPr>
          <w:bCs/>
          <w:i/>
          <w:szCs w:val="18"/>
        </w:rPr>
        <w:t xml:space="preserve">Uwaga: Szczegółowe określenie przedmiotu zamówienia zawarte jest w treści niniejszej SIWZ, przy czym przedmiar robót jest elementem pomocniczym i stanowi dla wykonawcy informację uzupełniającą do opisu przedmiotu zamówienia zawartego w opisie technicznym oraz w specyfikacji technicznej wykonania </w:t>
        <w:br/>
        <w:t xml:space="preserve">i odbioru robót, a podane w nim ilości robót stanowią orientacyjną informację dla Wykonawcy do wyceny oferty. </w:t>
      </w:r>
    </w:p>
    <w:p>
      <w:pPr>
        <w:pStyle w:val="Normal"/>
        <w:spacing w:lineRule="auto" w:line="276" w:before="0" w:after="120"/>
        <w:ind w:left="0" w:hanging="0"/>
        <w:jc w:val="both"/>
        <w:rPr>
          <w:i/>
          <w:i/>
          <w:szCs w:val="18"/>
        </w:rPr>
      </w:pPr>
      <w:r>
        <w:rPr>
          <w:bCs/>
          <w:i/>
          <w:szCs w:val="18"/>
        </w:rPr>
        <w:t xml:space="preserve">Prace będące przedmiotem zamówienia należy wykonać zgodnie z specyfikacją techniczną wykonania </w:t>
        <w:br/>
        <w:t>i odbioru robót budowlanych, prawem budowlanym i obowiązującymi w tym zakresie normami oraz powszechnie obowiązującymi przepisami prawa.</w:t>
      </w:r>
    </w:p>
    <w:p>
      <w:pPr>
        <w:pStyle w:val="Normal"/>
        <w:spacing w:lineRule="auto" w:line="276" w:before="0" w:after="120"/>
        <w:ind w:left="0" w:hanging="0"/>
        <w:jc w:val="both"/>
        <w:rPr>
          <w:szCs w:val="18"/>
        </w:rPr>
      </w:pPr>
      <w:r>
        <w:rPr>
          <w:bCs/>
          <w:szCs w:val="18"/>
        </w:rPr>
        <w:t>2.</w:t>
      </w:r>
      <w:r>
        <w:rPr>
          <w:szCs w:val="18"/>
        </w:rPr>
        <w:t xml:space="preserve">W ofercie należy podać cenę netto i brutto zamówienia, z dokładnością do dwóch miejsc po przecinku – za całość przedmiotu zamówienia. </w:t>
      </w:r>
    </w:p>
    <w:p>
      <w:pPr>
        <w:pStyle w:val="Normal"/>
        <w:spacing w:lineRule="auto" w:line="276" w:before="0" w:after="120"/>
        <w:ind w:left="0" w:hanging="0"/>
        <w:jc w:val="both"/>
        <w:rPr>
          <w:szCs w:val="18"/>
        </w:rPr>
      </w:pPr>
      <w:r>
        <w:rPr>
          <w:bCs/>
          <w:szCs w:val="18"/>
        </w:rPr>
        <w:t xml:space="preserve">3. </w:t>
      </w:r>
      <w:r>
        <w:rPr>
          <w:szCs w:val="18"/>
        </w:rPr>
        <w:t xml:space="preserve">Cena winna być wyrażona cyframi w złotych polskich oraz słownie. </w:t>
      </w:r>
    </w:p>
    <w:p>
      <w:pPr>
        <w:pStyle w:val="Normal"/>
        <w:spacing w:lineRule="auto" w:line="276" w:before="0" w:after="120"/>
        <w:ind w:left="0" w:hanging="0"/>
        <w:jc w:val="both"/>
        <w:rPr>
          <w:szCs w:val="18"/>
        </w:rPr>
      </w:pPr>
      <w:r>
        <w:rPr>
          <w:bCs/>
          <w:szCs w:val="18"/>
        </w:rPr>
        <w:t xml:space="preserve">4. </w:t>
      </w:r>
      <w:r>
        <w:rPr>
          <w:szCs w:val="18"/>
        </w:rPr>
        <w:t xml:space="preserve">Cena może być tylko jedna – nie dopuszcza się wariantowości. </w:t>
      </w:r>
    </w:p>
    <w:p>
      <w:pPr>
        <w:pStyle w:val="Normal"/>
        <w:spacing w:lineRule="auto" w:line="276" w:before="0" w:after="120"/>
        <w:ind w:left="0" w:hanging="0"/>
        <w:jc w:val="both"/>
        <w:rPr>
          <w:szCs w:val="18"/>
        </w:rPr>
      </w:pPr>
      <w:r>
        <w:rPr>
          <w:bCs/>
          <w:szCs w:val="18"/>
        </w:rPr>
        <w:t>5.</w:t>
      </w:r>
      <w:r>
        <w:rPr>
          <w:szCs w:val="18"/>
        </w:rPr>
        <w:t xml:space="preserve">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 </w:t>
      </w:r>
    </w:p>
    <w:p>
      <w:pPr>
        <w:pStyle w:val="Normal"/>
        <w:spacing w:lineRule="auto" w:line="276" w:before="0" w:after="120"/>
        <w:ind w:left="0" w:hanging="0"/>
        <w:jc w:val="both"/>
        <w:rPr>
          <w:szCs w:val="18"/>
        </w:rPr>
      </w:pPr>
      <w:r>
        <w:rPr>
          <w:szCs w:val="18"/>
        </w:rPr>
        <w:t xml:space="preserve">1)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200, poz. 1679, z późn. zm.); </w:t>
      </w:r>
    </w:p>
    <w:p>
      <w:pPr>
        <w:pStyle w:val="Normal"/>
        <w:spacing w:lineRule="auto" w:line="276" w:before="0" w:after="120"/>
        <w:ind w:left="0" w:hanging="0"/>
        <w:jc w:val="both"/>
        <w:rPr>
          <w:szCs w:val="18"/>
        </w:rPr>
      </w:pPr>
      <w:r>
        <w:rPr>
          <w:szCs w:val="18"/>
        </w:rPr>
        <w:t>2) pomocy publicznej udzielonej na podstawie odrębnych przepisów;</w:t>
      </w:r>
    </w:p>
    <w:p>
      <w:pPr>
        <w:pStyle w:val="Normal"/>
        <w:spacing w:lineRule="auto" w:line="276" w:before="0" w:after="120"/>
        <w:ind w:left="0" w:hanging="0"/>
        <w:jc w:val="both"/>
        <w:rPr>
          <w:szCs w:val="18"/>
        </w:rPr>
      </w:pPr>
      <w:r>
        <w:rPr>
          <w:szCs w:val="18"/>
        </w:rPr>
        <w:t xml:space="preserve">3) wynikającym z przepisów prawa pracy i przepisów o zabezpieczeniu społecznym, obowiązujących </w:t>
        <w:br/>
        <w:t xml:space="preserve">w miejscu, w którym realizowane jest zamówienie; </w:t>
      </w:r>
    </w:p>
    <w:p>
      <w:pPr>
        <w:pStyle w:val="Normal"/>
        <w:spacing w:lineRule="auto" w:line="276" w:before="0" w:after="120"/>
        <w:ind w:left="0" w:hanging="0"/>
        <w:jc w:val="both"/>
        <w:rPr>
          <w:szCs w:val="18"/>
        </w:rPr>
      </w:pPr>
      <w:r>
        <w:rPr>
          <w:szCs w:val="18"/>
        </w:rPr>
        <w:t xml:space="preserve">4) wynikającym z przepisów prawa ochrony środowiska; </w:t>
      </w:r>
    </w:p>
    <w:p>
      <w:pPr>
        <w:pStyle w:val="Normal"/>
        <w:spacing w:lineRule="auto" w:line="276" w:before="0" w:after="120"/>
        <w:ind w:left="0" w:hanging="0"/>
        <w:jc w:val="both"/>
        <w:rPr>
          <w:szCs w:val="18"/>
        </w:rPr>
      </w:pPr>
      <w:r>
        <w:rPr>
          <w:szCs w:val="18"/>
        </w:rPr>
        <w:t xml:space="preserve">5) powierzenia wykonania części zamówienia podwykonawcy. </w:t>
      </w:r>
    </w:p>
    <w:p>
      <w:pPr>
        <w:pStyle w:val="Normal"/>
        <w:spacing w:lineRule="auto" w:line="276" w:before="0" w:after="120"/>
        <w:ind w:left="0" w:hanging="0"/>
        <w:jc w:val="both"/>
        <w:rPr>
          <w:szCs w:val="18"/>
        </w:rPr>
      </w:pPr>
      <w:r>
        <w:rPr>
          <w:bCs/>
          <w:szCs w:val="18"/>
        </w:rPr>
        <w:t xml:space="preserve">6. </w:t>
      </w:r>
      <w:r>
        <w:rPr>
          <w:szCs w:val="18"/>
        </w:rPr>
        <w:t xml:space="preserve">W przypadku gdy cena całkowita oferty jest niższa o co najmniej 30% od: </w:t>
      </w:r>
    </w:p>
    <w:p>
      <w:pPr>
        <w:pStyle w:val="Normal"/>
        <w:spacing w:lineRule="auto" w:line="276" w:before="0" w:after="120"/>
        <w:ind w:left="0" w:hanging="0"/>
        <w:jc w:val="both"/>
        <w:rPr>
          <w:szCs w:val="18"/>
        </w:rPr>
      </w:pPr>
      <w:r>
        <w:rPr>
          <w:szCs w:val="18"/>
        </w:rPr>
        <w:t xml:space="preserve">1) wartości zamówienia powiększonej o należny podatek od towarów i usług, ustalonej przed wszczęciem postępowania zgodnie z art. 35 ust. 1 i 2 ustawy Pzp lub średniej arytmetycznej cen wszystkich złożonych ofert, zamawiający zwraca się o udzielenie wyjaśnień, o których mowa w ust. 1, chyba że rozbieżność wynika z okoliczności oczywistych, które nie wymagają wyjaśnienia; </w:t>
      </w:r>
    </w:p>
    <w:p>
      <w:pPr>
        <w:pStyle w:val="Normal"/>
        <w:spacing w:lineRule="auto" w:line="276" w:before="0" w:after="120"/>
        <w:ind w:left="0" w:hanging="0"/>
        <w:jc w:val="both"/>
        <w:rPr>
          <w:szCs w:val="18"/>
        </w:rPr>
      </w:pPr>
      <w:r>
        <w:rPr>
          <w:szCs w:val="18"/>
        </w:rPr>
        <w:t xml:space="preserve">2) 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 </w:t>
      </w:r>
    </w:p>
    <w:p>
      <w:pPr>
        <w:pStyle w:val="Normal"/>
        <w:spacing w:lineRule="auto" w:line="276" w:before="0" w:after="120"/>
        <w:ind w:left="0" w:hanging="0"/>
        <w:jc w:val="both"/>
        <w:rPr>
          <w:szCs w:val="18"/>
        </w:rPr>
      </w:pPr>
      <w:r>
        <w:rPr>
          <w:bCs/>
          <w:szCs w:val="18"/>
        </w:rPr>
        <w:t xml:space="preserve">7. </w:t>
      </w:r>
      <w:r>
        <w:rPr>
          <w:szCs w:val="18"/>
        </w:rPr>
        <w:t xml:space="preserve">Obowiązek wykazania, że oferta nie zawiera rażąco niskiej ceny lub kosztu spoczywa na wykonawcy. </w:t>
      </w:r>
    </w:p>
    <w:p>
      <w:pPr>
        <w:pStyle w:val="Normal"/>
        <w:spacing w:lineRule="auto" w:line="276" w:before="0" w:after="120"/>
        <w:ind w:left="0" w:hanging="0"/>
        <w:jc w:val="both"/>
        <w:rPr>
          <w:szCs w:val="18"/>
        </w:rPr>
      </w:pPr>
      <w:r>
        <w:rPr>
          <w:bCs/>
          <w:szCs w:val="18"/>
        </w:rPr>
        <w:t xml:space="preserve">8. </w:t>
      </w:r>
      <w:r>
        <w:rPr>
          <w:szCs w:val="18"/>
        </w:rPr>
        <w:t>Zamawiający odrzuca ofertę wykonawcy, który nie udzielił wyjaśnień lub jeżeli dokonana ocena wyjaśnień wraz ze złożonymi dowodami potwierdza, że oferta zawiera rażąco niską cenę lub koszt w stosunku do przedmiotu zamówienia.</w:t>
      </w:r>
    </w:p>
    <w:p>
      <w:pPr>
        <w:pStyle w:val="Normal"/>
        <w:spacing w:lineRule="auto" w:line="276"/>
        <w:ind w:left="0" w:hanging="0"/>
        <w:jc w:val="both"/>
        <w:rPr>
          <w:szCs w:val="18"/>
        </w:rPr>
      </w:pPr>
      <w:r>
        <w:rPr>
          <w:szCs w:val="18"/>
        </w:rPr>
        <w:t xml:space="preserve">9. Prawidłowe ustalenie podatku VAT należy do obowiązku Wykonawcy, zgodnie z przepisami ustawy o podatku od towarów i usług i podatku akcyzowym. </w:t>
      </w:r>
    </w:p>
    <w:p>
      <w:pPr>
        <w:pStyle w:val="Normal"/>
        <w:spacing w:lineRule="auto" w:line="276"/>
        <w:ind w:left="0" w:hanging="0"/>
        <w:jc w:val="both"/>
        <w:rPr>
          <w:szCs w:val="18"/>
        </w:rPr>
      </w:pPr>
      <w:r>
        <w:rPr>
          <w:szCs w:val="18"/>
        </w:rPr>
      </w:r>
    </w:p>
    <w:p>
      <w:pPr>
        <w:pStyle w:val="Normal"/>
        <w:spacing w:lineRule="auto" w:line="276"/>
        <w:ind w:left="0" w:hanging="0"/>
        <w:jc w:val="both"/>
        <w:rPr>
          <w:szCs w:val="18"/>
        </w:rPr>
      </w:pPr>
      <w:r>
        <w:rPr>
          <w:szCs w:val="18"/>
        </w:rPr>
      </w:r>
    </w:p>
    <w:p>
      <w:pPr>
        <w:pStyle w:val="Normal"/>
        <w:spacing w:lineRule="auto" w:line="276"/>
        <w:ind w:left="0" w:hanging="0"/>
        <w:jc w:val="both"/>
        <w:rPr>
          <w:szCs w:val="18"/>
        </w:rPr>
      </w:pPr>
      <w:r>
        <w:rPr>
          <w:szCs w:val="18"/>
        </w:rPr>
      </w:r>
    </w:p>
    <w:p>
      <w:pPr>
        <w:pStyle w:val="Normal"/>
        <w:spacing w:lineRule="auto" w:line="276"/>
        <w:ind w:left="0" w:hanging="0"/>
        <w:jc w:val="both"/>
        <w:rPr>
          <w:szCs w:val="18"/>
        </w:rPr>
      </w:pPr>
      <w:r>
        <w:rPr>
          <w:szCs w:val="18"/>
        </w:rPr>
      </w:r>
    </w:p>
    <w:p>
      <w:pPr>
        <w:pStyle w:val="Artyku"/>
        <w:numPr>
          <w:ilvl w:val="0"/>
          <w:numId w:val="1"/>
        </w:numPr>
        <w:spacing w:lineRule="auto" w:line="276"/>
        <w:rPr/>
      </w:pPr>
      <w:bookmarkStart w:id="15" w:name="_Toc496698276"/>
      <w:r>
        <w:rPr/>
        <w:t>Kryteria oceny oferty - Wybór najkorzystniejszej oferty</w:t>
      </w:r>
      <w:bookmarkEnd w:id="15"/>
      <w:r>
        <w:rPr/>
        <w:br/>
      </w:r>
    </w:p>
    <w:p>
      <w:pPr>
        <w:pStyle w:val="ListParagraph"/>
        <w:numPr>
          <w:ilvl w:val="0"/>
          <w:numId w:val="6"/>
        </w:numPr>
        <w:spacing w:lineRule="auto" w:line="276" w:before="0" w:after="120"/>
        <w:ind w:left="284" w:hanging="284"/>
        <w:contextualSpacing/>
        <w:jc w:val="both"/>
        <w:rPr>
          <w:szCs w:val="24"/>
        </w:rPr>
      </w:pPr>
      <w:r>
        <w:rPr>
          <w:szCs w:val="24"/>
        </w:rPr>
        <w:t>Zamawiający udzieli zamówienia Wykonawcy, którego oferta odpowiada zasadom określonym w ustawie prawo zamówień publicznych oraz w specyfikacji istotnych warunków zamówienia i została uznana za najkorzystniejszą.</w:t>
      </w:r>
    </w:p>
    <w:p>
      <w:pPr>
        <w:pStyle w:val="ListParagraph"/>
        <w:numPr>
          <w:ilvl w:val="0"/>
          <w:numId w:val="6"/>
        </w:numPr>
        <w:spacing w:lineRule="auto" w:line="276"/>
        <w:ind w:left="284" w:hanging="284"/>
        <w:jc w:val="both"/>
        <w:rPr>
          <w:szCs w:val="24"/>
        </w:rPr>
      </w:pPr>
      <w:r>
        <w:rPr>
          <w:szCs w:val="24"/>
        </w:rPr>
        <w:t>Kryterium oceny ofert: Kryteria wyboru ofert będą oceniane według poniższych „wag” (znaczenia).</w:t>
      </w:r>
    </w:p>
    <w:p>
      <w:pPr>
        <w:pStyle w:val="Normal"/>
        <w:ind w:left="0" w:hanging="0"/>
        <w:jc w:val="both"/>
        <w:rPr>
          <w:szCs w:val="24"/>
        </w:rPr>
      </w:pPr>
      <w:r>
        <w:rPr>
          <w:szCs w:val="24"/>
        </w:rPr>
      </w:r>
    </w:p>
    <w:p>
      <w:pPr>
        <w:pStyle w:val="Normal"/>
        <w:ind w:left="0" w:hanging="0"/>
        <w:jc w:val="both"/>
        <w:rPr>
          <w:b/>
          <w:b/>
          <w:bCs/>
          <w:szCs w:val="24"/>
        </w:rPr>
      </w:pPr>
      <w:r>
        <w:rPr>
          <w:b/>
          <w:bCs/>
          <w:szCs w:val="24"/>
        </w:rPr>
        <w:t>2.1 CENA - 60%</w:t>
      </w:r>
    </w:p>
    <w:p>
      <w:pPr>
        <w:pStyle w:val="Normal"/>
        <w:spacing w:lineRule="auto" w:line="276"/>
        <w:ind w:left="0" w:hanging="0"/>
        <w:jc w:val="both"/>
        <w:rPr>
          <w:szCs w:val="24"/>
        </w:rPr>
      </w:pPr>
      <w:r>
        <w:rPr>
          <w:szCs w:val="24"/>
        </w:rPr>
        <w:t>Przy ocenie wysokości proponowanej ceny najwyżej będzie punktowana oferta proponująca najniższą cenę za wykonanie przedmiotu zamówienia, pozostałe oferty będą przeliczane wg wzoru:</w:t>
      </w:r>
    </w:p>
    <w:p>
      <w:pPr>
        <w:pStyle w:val="Normal"/>
        <w:ind w:left="0" w:hanging="0"/>
        <w:jc w:val="both"/>
        <w:rPr>
          <w:szCs w:val="24"/>
        </w:rPr>
      </w:pPr>
      <w:r>
        <w:rPr>
          <w:szCs w:val="24"/>
        </w:rPr>
      </w:r>
    </w:p>
    <w:p>
      <w:pPr>
        <w:pStyle w:val="Normal"/>
        <w:ind w:left="0" w:hanging="0"/>
        <w:jc w:val="both"/>
        <w:rPr>
          <w:szCs w:val="24"/>
        </w:rPr>
      </w:pPr>
      <w:r>
        <w:rPr>
          <w:szCs w:val="24"/>
        </w:rPr>
      </w:r>
    </w:p>
    <w:p>
      <w:pPr>
        <w:pStyle w:val="Normal"/>
        <w:ind w:left="0" w:hanging="0"/>
        <w:jc w:val="both"/>
        <w:rPr>
          <w:b/>
          <w:b/>
          <w:bCs/>
          <w:szCs w:val="24"/>
        </w:rPr>
      </w:pPr>
      <w:r>
        <w:rPr>
          <w:b/>
          <w:bCs/>
          <w:szCs w:val="24"/>
        </w:rPr>
        <w:t xml:space="preserve">                  </w:t>
      </w:r>
      <w:r>
        <w:rPr>
          <w:b/>
          <w:bCs/>
          <w:szCs w:val="24"/>
        </w:rPr>
        <w:t>Cena najniższej oferty (zł)</w:t>
      </w:r>
    </w:p>
    <w:p>
      <w:pPr>
        <w:pStyle w:val="Normal"/>
        <w:ind w:left="0" w:hanging="0"/>
        <w:jc w:val="both"/>
        <w:rPr>
          <w:b/>
          <w:b/>
          <w:bCs/>
          <w:szCs w:val="24"/>
        </w:rPr>
      </w:pPr>
      <w:r>
        <w:rPr>
          <w:b/>
          <w:bCs/>
          <w:szCs w:val="24"/>
        </w:rPr>
        <w:t>CENA = ------------------------------------------ x 100,00 pkt. x 60%</w:t>
      </w:r>
    </w:p>
    <w:p>
      <w:pPr>
        <w:pStyle w:val="Normal"/>
        <w:ind w:left="0" w:hanging="0"/>
        <w:jc w:val="both"/>
        <w:rPr>
          <w:b/>
          <w:b/>
          <w:bCs/>
          <w:szCs w:val="24"/>
        </w:rPr>
      </w:pPr>
      <w:r>
        <w:rPr>
          <w:b/>
          <w:bCs/>
          <w:szCs w:val="24"/>
        </w:rPr>
        <w:t xml:space="preserve">                  </w:t>
      </w:r>
      <w:r>
        <w:rPr>
          <w:b/>
          <w:bCs/>
          <w:szCs w:val="24"/>
        </w:rPr>
        <w:t>Cena oferty badanej (zł)</w:t>
      </w:r>
    </w:p>
    <w:p>
      <w:pPr>
        <w:pStyle w:val="Normal"/>
        <w:ind w:left="0" w:hanging="0"/>
        <w:jc w:val="both"/>
        <w:rPr>
          <w:b/>
          <w:b/>
          <w:bCs/>
          <w:szCs w:val="24"/>
        </w:rPr>
      </w:pPr>
      <w:r>
        <w:rPr>
          <w:b/>
          <w:bCs/>
          <w:szCs w:val="24"/>
        </w:rPr>
      </w:r>
    </w:p>
    <w:p>
      <w:pPr>
        <w:pStyle w:val="Normal"/>
        <w:ind w:left="0" w:hanging="0"/>
        <w:jc w:val="both"/>
        <w:rPr>
          <w:szCs w:val="24"/>
        </w:rPr>
      </w:pPr>
      <w:r>
        <w:rPr>
          <w:szCs w:val="24"/>
        </w:rPr>
        <w:t>Maksymalna ilość punktów do uzyskania w kryterium CENA to 60 pkt.</w:t>
      </w:r>
    </w:p>
    <w:p>
      <w:pPr>
        <w:pStyle w:val="Normal"/>
        <w:ind w:left="0" w:hanging="0"/>
        <w:jc w:val="both"/>
        <w:rPr>
          <w:szCs w:val="24"/>
        </w:rPr>
      </w:pPr>
      <w:r>
        <w:rPr>
          <w:szCs w:val="24"/>
        </w:rPr>
      </w:r>
    </w:p>
    <w:p>
      <w:pPr>
        <w:pStyle w:val="Normal"/>
        <w:ind w:left="0" w:hanging="0"/>
        <w:jc w:val="both"/>
        <w:rPr>
          <w:b/>
          <w:b/>
          <w:bCs/>
          <w:szCs w:val="24"/>
        </w:rPr>
      </w:pPr>
      <w:r>
        <w:rPr>
          <w:b/>
          <w:bCs/>
          <w:szCs w:val="24"/>
        </w:rPr>
        <w:t>2.2 OKRES DODATKOWEJ GWARANCJI I RĘKOJMI – 10 %</w:t>
      </w:r>
    </w:p>
    <w:p>
      <w:pPr>
        <w:pStyle w:val="Normal"/>
        <w:spacing w:lineRule="auto" w:line="276"/>
        <w:ind w:left="0" w:hanging="0"/>
        <w:jc w:val="both"/>
        <w:rPr>
          <w:szCs w:val="24"/>
        </w:rPr>
      </w:pPr>
      <w:r>
        <w:rPr>
          <w:szCs w:val="24"/>
        </w:rPr>
        <w:t xml:space="preserve">Przy ocenie dodatkowej gwarancji i rękojmi najwyżej będzie punktowana oferta proponująca najdłuższy okres dodatkowej gwarancji i rękojmi , jednak </w:t>
      </w:r>
      <w:r>
        <w:rPr>
          <w:b/>
          <w:bCs/>
          <w:szCs w:val="24"/>
        </w:rPr>
        <w:t>nie dłuższy niż 12 miesiące.</w:t>
      </w:r>
    </w:p>
    <w:p>
      <w:pPr>
        <w:pStyle w:val="Normal"/>
        <w:ind w:left="0" w:hanging="0"/>
        <w:jc w:val="both"/>
        <w:rPr>
          <w:b/>
          <w:b/>
          <w:bCs/>
          <w:sz w:val="20"/>
          <w:szCs w:val="24"/>
        </w:rPr>
      </w:pPr>
      <w:r>
        <w:rPr>
          <w:b/>
          <w:bCs/>
          <w:sz w:val="20"/>
          <w:szCs w:val="24"/>
        </w:rPr>
      </w:r>
    </w:p>
    <w:p>
      <w:pPr>
        <w:pStyle w:val="Normal"/>
        <w:ind w:left="0" w:hanging="0"/>
        <w:jc w:val="both"/>
        <w:rPr>
          <w:b/>
          <w:b/>
          <w:bCs/>
          <w:sz w:val="18"/>
          <w:szCs w:val="24"/>
        </w:rPr>
      </w:pPr>
      <w:r>
        <w:rPr>
          <w:b/>
          <w:bCs/>
          <w:sz w:val="18"/>
          <w:szCs w:val="24"/>
        </w:rPr>
        <w:t xml:space="preserve">                                                                                                   </w:t>
      </w:r>
      <w:r>
        <w:rPr>
          <w:b/>
          <w:bCs/>
          <w:sz w:val="18"/>
          <w:szCs w:val="24"/>
        </w:rPr>
        <w:t>Okres dodatkowej gwarancji i rękojmi badanej oferty</w:t>
      </w:r>
    </w:p>
    <w:p>
      <w:pPr>
        <w:pStyle w:val="Normal"/>
        <w:ind w:left="0" w:hanging="0"/>
        <w:jc w:val="both"/>
        <w:rPr>
          <w:b/>
          <w:b/>
          <w:bCs/>
          <w:sz w:val="18"/>
          <w:szCs w:val="24"/>
        </w:rPr>
      </w:pPr>
      <w:r>
        <w:rPr>
          <w:b/>
          <w:bCs/>
          <w:sz w:val="18"/>
          <w:szCs w:val="24"/>
        </w:rPr>
        <w:t>OKRES DODATKOWEJ GWARANCJI I RĘKOJMI =  ------------------------------------------------------------------- x 100,00 pkt. x 10%</w:t>
      </w:r>
    </w:p>
    <w:p>
      <w:pPr>
        <w:pStyle w:val="Normal"/>
        <w:ind w:left="0" w:hanging="0"/>
        <w:jc w:val="both"/>
        <w:rPr>
          <w:b/>
          <w:b/>
          <w:bCs/>
          <w:sz w:val="18"/>
          <w:szCs w:val="24"/>
        </w:rPr>
      </w:pPr>
      <w:r>
        <w:rPr>
          <w:b/>
          <w:bCs/>
          <w:sz w:val="18"/>
          <w:szCs w:val="24"/>
        </w:rPr>
        <w:t xml:space="preserve">                                                                                        </w:t>
      </w:r>
      <w:r>
        <w:rPr>
          <w:b/>
          <w:bCs/>
          <w:sz w:val="18"/>
          <w:szCs w:val="24"/>
        </w:rPr>
        <w:t>Najdłuższy zaoferowany okres dodatkowej gwarancji i rękojmi</w:t>
      </w:r>
    </w:p>
    <w:p>
      <w:pPr>
        <w:pStyle w:val="Normal"/>
        <w:ind w:left="0" w:hanging="0"/>
        <w:jc w:val="both"/>
        <w:rPr>
          <w:b/>
          <w:b/>
          <w:bCs/>
          <w:szCs w:val="24"/>
        </w:rPr>
      </w:pPr>
      <w:r>
        <w:rPr>
          <w:b/>
          <w:bCs/>
          <w:szCs w:val="24"/>
        </w:rPr>
      </w:r>
    </w:p>
    <w:p>
      <w:pPr>
        <w:pStyle w:val="Normal"/>
        <w:ind w:left="0" w:hanging="0"/>
        <w:jc w:val="both"/>
        <w:rPr>
          <w:szCs w:val="24"/>
        </w:rPr>
      </w:pPr>
      <w:r>
        <w:rPr>
          <w:szCs w:val="24"/>
        </w:rPr>
        <w:t xml:space="preserve">Maksymalna ilość punktów do uzyskania w kryterium OKRES DODATKOWEJ GWARANCJI </w:t>
        <w:br/>
        <w:t>i RĘKOJMI to 10 pkt.</w:t>
      </w:r>
    </w:p>
    <w:p>
      <w:pPr>
        <w:pStyle w:val="Normal"/>
        <w:ind w:left="0" w:hanging="0"/>
        <w:jc w:val="both"/>
        <w:rPr>
          <w:szCs w:val="24"/>
        </w:rPr>
      </w:pPr>
      <w:r>
        <w:rPr>
          <w:szCs w:val="24"/>
        </w:rPr>
      </w:r>
    </w:p>
    <w:p>
      <w:pPr>
        <w:pStyle w:val="Normal"/>
        <w:ind w:left="0" w:hanging="0"/>
        <w:jc w:val="both"/>
        <w:rPr>
          <w:szCs w:val="24"/>
        </w:rPr>
      </w:pPr>
      <w:r>
        <w:rPr>
          <w:szCs w:val="24"/>
        </w:rPr>
        <w:t>Przy czym:</w:t>
      </w:r>
    </w:p>
    <w:p>
      <w:pPr>
        <w:pStyle w:val="Normal"/>
        <w:spacing w:before="0" w:after="120"/>
        <w:ind w:left="0" w:hanging="0"/>
        <w:jc w:val="both"/>
        <w:rPr>
          <w:szCs w:val="24"/>
        </w:rPr>
      </w:pPr>
      <w:r>
        <w:rPr>
          <w:szCs w:val="24"/>
        </w:rPr>
        <w:t>a) Zamawiający ustala okres podstawowej gwarancji 60 miesięcy.</w:t>
      </w:r>
    </w:p>
    <w:p>
      <w:pPr>
        <w:pStyle w:val="Normal"/>
        <w:spacing w:before="0" w:after="120"/>
        <w:ind w:left="0" w:hanging="0"/>
        <w:jc w:val="both"/>
        <w:rPr>
          <w:szCs w:val="24"/>
        </w:rPr>
      </w:pPr>
      <w:r>
        <w:rPr>
          <w:szCs w:val="24"/>
        </w:rPr>
        <w:t>b) Zamawiający ustala maksymalny okres dodatkowej gwarancji 12 miesięcy.</w:t>
      </w:r>
    </w:p>
    <w:p>
      <w:pPr>
        <w:pStyle w:val="Normal"/>
        <w:spacing w:lineRule="auto" w:line="276" w:before="0" w:after="120"/>
        <w:ind w:left="0" w:hanging="0"/>
        <w:jc w:val="both"/>
        <w:rPr>
          <w:szCs w:val="24"/>
        </w:rPr>
      </w:pPr>
      <w:r>
        <w:rPr>
          <w:szCs w:val="24"/>
        </w:rPr>
        <w:t>c) Łączny okres gwarancji nie może być dłuższy niż 72 miesięcy (okres podstawowej gwarancji + okres dodatkowej gwarancji).</w:t>
      </w:r>
    </w:p>
    <w:p>
      <w:pPr>
        <w:pStyle w:val="Normal"/>
        <w:spacing w:before="0" w:after="120"/>
        <w:ind w:left="0" w:hanging="0"/>
        <w:jc w:val="both"/>
        <w:rPr>
          <w:szCs w:val="24"/>
        </w:rPr>
      </w:pPr>
      <w:r>
        <w:rPr>
          <w:szCs w:val="24"/>
        </w:rPr>
        <w:t>d) Okres gwarancji powinien zostać podany w miesiącach.</w:t>
      </w:r>
    </w:p>
    <w:p>
      <w:pPr>
        <w:pStyle w:val="Normal"/>
        <w:spacing w:lineRule="auto" w:line="276" w:before="0" w:after="120"/>
        <w:ind w:left="0" w:hanging="0"/>
        <w:jc w:val="both"/>
        <w:rPr>
          <w:szCs w:val="24"/>
        </w:rPr>
      </w:pPr>
      <w:r>
        <w:rPr>
          <w:szCs w:val="24"/>
        </w:rPr>
        <w:t>e) W przypadku braku wskazania w ofercie okresu dodatkowej gwarancji uznaje się że Wykonawca oferuje 60 miesięcy gwarancji podstawowej.</w:t>
      </w:r>
    </w:p>
    <w:p>
      <w:pPr>
        <w:pStyle w:val="Normal"/>
        <w:ind w:left="0" w:hanging="0"/>
        <w:jc w:val="both"/>
        <w:rPr>
          <w:b/>
          <w:b/>
          <w:bCs/>
          <w:szCs w:val="24"/>
        </w:rPr>
      </w:pPr>
      <w:r>
        <w:rPr>
          <w:b/>
          <w:bCs/>
          <w:szCs w:val="24"/>
        </w:rPr>
        <w:t>2.3 TERMIN PŁATNOŚCI FAKTURY – 30 %</w:t>
      </w:r>
    </w:p>
    <w:p>
      <w:pPr>
        <w:pStyle w:val="Normal"/>
        <w:spacing w:lineRule="auto" w:line="276"/>
        <w:ind w:left="0" w:hanging="0"/>
        <w:jc w:val="both"/>
        <w:rPr>
          <w:szCs w:val="24"/>
        </w:rPr>
      </w:pPr>
      <w:r>
        <w:rPr>
          <w:szCs w:val="24"/>
        </w:rPr>
        <w:t xml:space="preserve">Ocenie będzie podlegał najdłuższy termin płatności faktury. Minimalny termin płatności to 21 dni od dnia wpływu faktury do Zamawiającego. Maksymalna liczba dni płatności faktury brana pod uwagę do punktacji to 30 dni od dnia wpływu faktury do Zamawiającego. </w:t>
      </w:r>
    </w:p>
    <w:p>
      <w:pPr>
        <w:pStyle w:val="Normal"/>
        <w:spacing w:lineRule="auto" w:line="276"/>
        <w:ind w:left="0" w:hanging="0"/>
        <w:jc w:val="both"/>
        <w:rPr>
          <w:szCs w:val="24"/>
        </w:rPr>
      </w:pPr>
      <w:r>
        <w:rPr>
          <w:szCs w:val="24"/>
        </w:rPr>
      </w:r>
    </w:p>
    <w:p>
      <w:pPr>
        <w:pStyle w:val="Normal"/>
        <w:spacing w:lineRule="auto" w:line="276"/>
        <w:ind w:left="0" w:firstLine="426"/>
        <w:jc w:val="center"/>
        <w:rPr>
          <w:rFonts w:eastAsia="Calibri"/>
          <w:b/>
          <w:b/>
          <w:bCs/>
          <w:sz w:val="20"/>
          <w:szCs w:val="18"/>
        </w:rPr>
      </w:pPr>
      <w:r>
        <w:rPr>
          <w:rFonts w:eastAsia="Calibri"/>
          <w:b/>
          <w:bCs/>
          <w:sz w:val="20"/>
          <w:szCs w:val="18"/>
        </w:rPr>
        <w:t>Termin najdłuższy ( dni )</w:t>
      </w:r>
    </w:p>
    <w:p>
      <w:pPr>
        <w:pStyle w:val="Normal"/>
        <w:spacing w:lineRule="auto" w:line="276"/>
        <w:ind w:left="0" w:firstLine="426"/>
        <w:jc w:val="center"/>
        <w:rPr>
          <w:rFonts w:eastAsia="Calibri"/>
          <w:b/>
          <w:b/>
          <w:bCs/>
          <w:sz w:val="20"/>
          <w:szCs w:val="18"/>
        </w:rPr>
      </w:pPr>
      <w:r>
        <w:rPr>
          <w:rFonts w:eastAsia="Calibri"/>
          <w:b/>
          <w:bCs/>
          <w:sz w:val="20"/>
          <w:szCs w:val="18"/>
        </w:rPr>
        <w:t>Termin płatności faktury = --------------------------------------------- x 100,00 pkt. x 30%</w:t>
      </w:r>
    </w:p>
    <w:p>
      <w:pPr>
        <w:pStyle w:val="Normal"/>
        <w:spacing w:lineRule="auto" w:line="276"/>
        <w:ind w:left="0" w:firstLine="426"/>
        <w:jc w:val="center"/>
        <w:rPr>
          <w:rFonts w:eastAsia="Calibri"/>
          <w:b/>
          <w:b/>
          <w:bCs/>
          <w:sz w:val="20"/>
          <w:szCs w:val="18"/>
        </w:rPr>
      </w:pPr>
      <w:r>
        <w:rPr>
          <w:rFonts w:eastAsia="Calibri"/>
          <w:b/>
          <w:bCs/>
          <w:sz w:val="20"/>
          <w:szCs w:val="18"/>
        </w:rPr>
        <w:t>Termin z badanej ofert ( dni )</w:t>
      </w:r>
    </w:p>
    <w:p>
      <w:pPr>
        <w:pStyle w:val="Normal"/>
        <w:spacing w:lineRule="auto" w:line="276"/>
        <w:ind w:left="0" w:firstLine="426"/>
        <w:jc w:val="center"/>
        <w:rPr>
          <w:szCs w:val="24"/>
        </w:rPr>
      </w:pPr>
      <w:r>
        <w:rPr>
          <w:szCs w:val="24"/>
        </w:rPr>
      </w:r>
    </w:p>
    <w:p>
      <w:pPr>
        <w:pStyle w:val="Normal"/>
        <w:spacing w:lineRule="auto" w:line="276"/>
        <w:ind w:left="0" w:hanging="0"/>
        <w:rPr>
          <w:szCs w:val="24"/>
        </w:rPr>
      </w:pPr>
      <w:r>
        <w:rPr>
          <w:szCs w:val="24"/>
        </w:rPr>
        <w:t>Maksymalna ilość punktów do uzyskania w kryterium TERMIN PŁATNOŚCI to 30 pkt.</w:t>
      </w:r>
    </w:p>
    <w:p>
      <w:pPr>
        <w:pStyle w:val="Normal"/>
        <w:spacing w:lineRule="auto" w:line="276"/>
        <w:ind w:left="0" w:hanging="0"/>
        <w:rPr>
          <w:szCs w:val="24"/>
        </w:rPr>
      </w:pPr>
      <w:r>
        <w:rPr>
          <w:szCs w:val="24"/>
        </w:rPr>
      </w:r>
    </w:p>
    <w:p>
      <w:pPr>
        <w:pStyle w:val="Normal"/>
        <w:spacing w:lineRule="auto" w:line="276"/>
        <w:ind w:left="0" w:hanging="0"/>
        <w:rPr>
          <w:rFonts w:eastAsia="Calibri"/>
          <w:b/>
          <w:b/>
          <w:bCs/>
          <w:sz w:val="20"/>
          <w:szCs w:val="18"/>
        </w:rPr>
      </w:pPr>
      <w:r>
        <w:rPr>
          <w:rFonts w:eastAsia="Calibri"/>
          <w:b/>
          <w:bCs/>
          <w:sz w:val="20"/>
          <w:szCs w:val="18"/>
        </w:rPr>
      </w:r>
    </w:p>
    <w:p>
      <w:pPr>
        <w:pStyle w:val="ListParagraph"/>
        <w:numPr>
          <w:ilvl w:val="0"/>
          <w:numId w:val="6"/>
        </w:numPr>
        <w:spacing w:lineRule="auto" w:line="276" w:before="0" w:after="120"/>
        <w:ind w:left="284" w:hanging="284"/>
        <w:contextualSpacing/>
        <w:jc w:val="both"/>
        <w:rPr>
          <w:szCs w:val="24"/>
        </w:rPr>
      </w:pPr>
      <w:r>
        <w:rPr>
          <w:szCs w:val="24"/>
        </w:rPr>
        <w:t xml:space="preserve">Łączna ilość punktów oferty stanowi sumę ilości punktów przyznanych w kryterium „CENA”, ilości punktów przyznanych w kryterium „OKRES DODATKOWEJ GWARANCJI”, </w:t>
      </w:r>
      <w:r>
        <w:rPr>
          <w:rFonts w:eastAsia="Calibri"/>
          <w:szCs w:val="18"/>
        </w:rPr>
        <w:t>ilości punktów przyznanych w kryterium „TERMIN PŁATNOŚCI”</w:t>
      </w:r>
      <w:r>
        <w:rPr>
          <w:szCs w:val="24"/>
        </w:rPr>
        <w:t>. Oferta, która otrzyma największą łączną ilość punktów zostanie uznana za najkorzystniejszą, pozostałe oferty zostaną sklasyfikowane zgodnie z ilością uzyskanych punktów.</w:t>
      </w:r>
    </w:p>
    <w:p>
      <w:pPr>
        <w:pStyle w:val="ListParagraph"/>
        <w:numPr>
          <w:ilvl w:val="0"/>
          <w:numId w:val="6"/>
        </w:numPr>
        <w:spacing w:lineRule="auto" w:line="276" w:before="0" w:after="120"/>
        <w:ind w:left="284" w:hanging="284"/>
        <w:contextualSpacing/>
        <w:jc w:val="both"/>
        <w:rPr>
          <w:szCs w:val="24"/>
        </w:rPr>
      </w:pPr>
      <w:r>
        <w:rPr>
          <w:szCs w:val="24"/>
        </w:rPr>
        <w:t xml:space="preserve">Jeżeli nie można wybrać oferty najkorzystniejszej z uwagi na to, że dwie lub więcej ofert przedstawia taki sam bilans ceny i innych kryteriów oceny ofert, Zamawiający spośród tych ofert wybiera ofertę </w:t>
        <w:br/>
        <w:t xml:space="preserve">z najniższą ceną, a jeżeli zostały złożone oferty o takiej samej cenie, Zamawiający wzywa Wykonawców, którzy złożyli te oferty, do złożenia w terminie określonym przez Zamawiającego ofert dodatkowych. </w:t>
      </w:r>
    </w:p>
    <w:p>
      <w:pPr>
        <w:pStyle w:val="ListParagraph"/>
        <w:numPr>
          <w:ilvl w:val="0"/>
          <w:numId w:val="6"/>
        </w:numPr>
        <w:spacing w:lineRule="auto" w:line="276" w:before="0" w:after="120"/>
        <w:ind w:left="284" w:hanging="284"/>
        <w:contextualSpacing/>
        <w:jc w:val="both"/>
        <w:rPr>
          <w:szCs w:val="24"/>
        </w:rPr>
      </w:pPr>
      <w:r>
        <w:rPr>
          <w:szCs w:val="24"/>
        </w:rPr>
        <w:t xml:space="preserve">Wykonawcy, składając oferty dodatkowe, nie mogą zaoferować cen wyższych niż zaoferowane </w:t>
        <w:br/>
        <w:t xml:space="preserve">w złożonych ofertach. </w:t>
      </w:r>
    </w:p>
    <w:p>
      <w:pPr>
        <w:pStyle w:val="ListParagraph"/>
        <w:numPr>
          <w:ilvl w:val="0"/>
          <w:numId w:val="6"/>
        </w:numPr>
        <w:spacing w:lineRule="auto" w:line="276"/>
        <w:ind w:left="284" w:hanging="284"/>
        <w:jc w:val="both"/>
        <w:rPr>
          <w:bCs/>
          <w:szCs w:val="24"/>
        </w:rPr>
      </w:pPr>
      <w:r>
        <w:rPr>
          <w:bCs/>
          <w:szCs w:val="24"/>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w:t>
        <w:br/>
        <w:t>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pPr>
        <w:pStyle w:val="Normal"/>
        <w:spacing w:lineRule="auto" w:line="276"/>
        <w:ind w:left="0" w:hanging="0"/>
        <w:jc w:val="both"/>
        <w:rPr>
          <w:bCs/>
          <w:sz w:val="12"/>
          <w:szCs w:val="24"/>
        </w:rPr>
      </w:pPr>
      <w:r>
        <w:rPr>
          <w:bCs/>
          <w:sz w:val="12"/>
          <w:szCs w:val="24"/>
        </w:rPr>
      </w:r>
    </w:p>
    <w:p>
      <w:pPr>
        <w:pStyle w:val="Artyku"/>
        <w:numPr>
          <w:ilvl w:val="0"/>
          <w:numId w:val="1"/>
        </w:numPr>
        <w:rPr/>
      </w:pPr>
      <w:bookmarkStart w:id="16" w:name="_Toc496698277"/>
      <w:r>
        <w:rPr/>
        <w:t>Informacje o formalnościach, jakie winny być dopełnione po wyborze oferty w celu zawarcia umowy w sprawie zamówienia</w:t>
      </w:r>
      <w:bookmarkEnd w:id="16"/>
    </w:p>
    <w:p>
      <w:pPr>
        <w:pStyle w:val="Normal"/>
        <w:spacing w:lineRule="auto" w:line="252"/>
        <w:ind w:left="0" w:hanging="0"/>
        <w:rPr>
          <w:rFonts w:eastAsia="Calibri"/>
          <w:b/>
          <w:b/>
          <w:bCs/>
          <w:szCs w:val="18"/>
        </w:rPr>
      </w:pPr>
      <w:r>
        <w:rPr>
          <w:rFonts w:eastAsia="Calibri"/>
          <w:b/>
          <w:bCs/>
          <w:szCs w:val="18"/>
        </w:rPr>
      </w:r>
    </w:p>
    <w:p>
      <w:pPr>
        <w:pStyle w:val="Normal"/>
        <w:spacing w:lineRule="auto" w:line="276" w:before="0" w:after="120"/>
        <w:ind w:left="0" w:hanging="0"/>
        <w:jc w:val="both"/>
        <w:rPr>
          <w:szCs w:val="18"/>
        </w:rPr>
      </w:pPr>
      <w:r>
        <w:rPr>
          <w:szCs w:val="18"/>
        </w:rPr>
        <w:t>1. Umowa w sprawie zamówienia publicznego zawarta zostanie z uwzględnieniem postanowień wynikających z art. 94 ustawy oraz postanowień niniejszej SIWZ.</w:t>
      </w:r>
    </w:p>
    <w:p>
      <w:pPr>
        <w:pStyle w:val="Normal"/>
        <w:spacing w:lineRule="auto" w:line="276" w:before="0" w:after="120"/>
        <w:ind w:left="0" w:hanging="0"/>
        <w:jc w:val="both"/>
        <w:rPr>
          <w:szCs w:val="18"/>
        </w:rPr>
      </w:pPr>
      <w:r>
        <w:rPr>
          <w:szCs w:val="18"/>
        </w:rPr>
        <w:t>2. Zamawiający podpisze umowę z Wykonawcą, który przedłoży najkorzystniejszą ofertę z punktu widzenia kryterium przyjętego w niniejszej specyfikacji.</w:t>
      </w:r>
    </w:p>
    <w:p>
      <w:pPr>
        <w:pStyle w:val="Normal"/>
        <w:spacing w:lineRule="auto" w:line="276" w:before="0" w:after="120"/>
        <w:ind w:left="0" w:hanging="0"/>
        <w:jc w:val="both"/>
        <w:rPr>
          <w:szCs w:val="18"/>
        </w:rPr>
      </w:pPr>
      <w:r>
        <w:rPr>
          <w:szCs w:val="18"/>
        </w:rPr>
        <w:t>3. W przypadku gdyby wyłoniona w prowadzonym postępowaniu oferta została złożona przez dwóch lub więcej wykonawców wspólnie ubiegających się o udzielenie zamówienia publicznego zamawiający zażąda umowy regulującej współpracę tych podmiotów przed przystąpieniem do podpisania umowy o zamówienie publiczne.</w:t>
      </w:r>
    </w:p>
    <w:p>
      <w:pPr>
        <w:pStyle w:val="Normal"/>
        <w:spacing w:lineRule="auto" w:line="276" w:before="0" w:after="120"/>
        <w:ind w:left="0" w:hanging="0"/>
        <w:jc w:val="both"/>
        <w:rPr>
          <w:szCs w:val="18"/>
        </w:rPr>
      </w:pPr>
      <w:r>
        <w:rPr>
          <w:szCs w:val="18"/>
        </w:rPr>
        <w:t>4. Na podstawie art. 94 ust. 3 ustawy w przypadku kiedy Wykonawca, którego oferta została wybrana, uchyla się od zawarcia umowy w sprawie zamówienia publicznego lub nie wnosi wymaganego zabezpieczenia należytego wykonania umowy, zamawiający może wybrać ofert najkorzystniejszą spośród pozostałych ofert, bez przeprowadzania ich ponownego badania i oceny, chyba że zachodzą przesłanki unieważnienia postępowania, o których mowa w art. 93 ust.1.</w:t>
      </w:r>
    </w:p>
    <w:p>
      <w:pPr>
        <w:pStyle w:val="Normal"/>
        <w:spacing w:lineRule="auto" w:line="276" w:before="0" w:after="120"/>
        <w:ind w:left="0" w:hanging="0"/>
        <w:jc w:val="both"/>
        <w:rPr>
          <w:szCs w:val="18"/>
        </w:rPr>
      </w:pPr>
      <w:r>
        <w:rPr>
          <w:szCs w:val="18"/>
        </w:rPr>
        <w:t>5. Przed zawarciem umowy w sprawie zamówienia publicznego Wykonawca, którego oferta została uznana za najkorzystniejszą zobowiązany jest dopełnić następujących formalności:</w:t>
      </w:r>
    </w:p>
    <w:p>
      <w:pPr>
        <w:pStyle w:val="Normal"/>
        <w:spacing w:lineRule="auto" w:line="276" w:before="0" w:after="120"/>
        <w:ind w:left="0" w:hanging="0"/>
        <w:jc w:val="both"/>
        <w:rPr>
          <w:szCs w:val="18"/>
        </w:rPr>
      </w:pPr>
      <w:r>
        <w:rPr>
          <w:szCs w:val="18"/>
        </w:rPr>
        <w:t>1) wnieść wymagane zabezpieczenie należytego wykonania umowy w wysokości 10%;</w:t>
      </w:r>
    </w:p>
    <w:p>
      <w:pPr>
        <w:pStyle w:val="Normal"/>
        <w:spacing w:lineRule="auto" w:line="276" w:before="0" w:after="120"/>
        <w:ind w:left="0" w:hanging="0"/>
        <w:jc w:val="both"/>
        <w:rPr>
          <w:szCs w:val="18"/>
        </w:rPr>
      </w:pPr>
      <w:r>
        <w:rPr>
          <w:szCs w:val="18"/>
        </w:rPr>
        <w:t xml:space="preserve">2) przedłożyć polisę lub inny dokument potwierdzający posiadanie ubezpieczenia OC w zakresie prowadzonej działalności gospodarczej odpowiadającej przedmiotowi zamówienia na kwotę co najmniej równą cenie ofertowej. </w:t>
      </w:r>
    </w:p>
    <w:p>
      <w:pPr>
        <w:pStyle w:val="Normal"/>
        <w:spacing w:lineRule="auto" w:line="276" w:before="0" w:after="120"/>
        <w:ind w:left="0" w:hanging="0"/>
        <w:jc w:val="both"/>
        <w:rPr>
          <w:szCs w:val="18"/>
        </w:rPr>
      </w:pPr>
      <w:r>
        <w:rPr>
          <w:szCs w:val="18"/>
        </w:rPr>
        <w:t xml:space="preserve">3) przedłożyć Zamawiającemu umowę konsorcjum, jeżeli zamówienie będzie realizowane przez Wykonawców wspólnie ubiegających się o udzielenie zamówienia. </w:t>
      </w:r>
    </w:p>
    <w:p>
      <w:pPr>
        <w:pStyle w:val="Normal"/>
        <w:spacing w:lineRule="auto" w:line="252"/>
        <w:ind w:left="0" w:hanging="0"/>
        <w:jc w:val="both"/>
        <w:rPr>
          <w:rFonts w:eastAsia="Calibri"/>
          <w:i/>
          <w:i/>
          <w:sz w:val="18"/>
          <w:szCs w:val="18"/>
        </w:rPr>
      </w:pPr>
      <w:r>
        <w:rPr>
          <w:i/>
          <w:szCs w:val="18"/>
        </w:rPr>
        <w:t>Uwaga: Niedopełnienie wskazanych formalności będzie traktowane jako uchylenie się przez Wykonawcę od zawarcia umowy w sprawie zamówienia publicznego.</w:t>
      </w:r>
    </w:p>
    <w:p>
      <w:pPr>
        <w:pStyle w:val="Normal"/>
        <w:spacing w:lineRule="auto" w:line="252"/>
        <w:ind w:left="0" w:hanging="0"/>
        <w:rPr>
          <w:rFonts w:eastAsia="Calibri"/>
          <w:sz w:val="18"/>
          <w:szCs w:val="18"/>
        </w:rPr>
      </w:pPr>
      <w:r>
        <w:rPr>
          <w:rFonts w:eastAsia="Calibri"/>
          <w:sz w:val="18"/>
          <w:szCs w:val="18"/>
        </w:rPr>
      </w:r>
    </w:p>
    <w:p>
      <w:pPr>
        <w:pStyle w:val="Artyku"/>
        <w:numPr>
          <w:ilvl w:val="0"/>
          <w:numId w:val="1"/>
        </w:numPr>
        <w:rPr/>
      </w:pPr>
      <w:bookmarkStart w:id="17" w:name="_Toc496698278"/>
      <w:r>
        <w:rPr/>
        <w:t>Zabezpieczenie należytego wykonania umowy</w:t>
      </w:r>
      <w:bookmarkEnd w:id="17"/>
    </w:p>
    <w:p>
      <w:pPr>
        <w:pStyle w:val="Artyku"/>
        <w:ind w:left="357" w:hanging="227"/>
        <w:rPr/>
      </w:pPr>
      <w:r>
        <w:rPr/>
      </w:r>
    </w:p>
    <w:p>
      <w:pPr>
        <w:pStyle w:val="Normal"/>
        <w:spacing w:lineRule="auto" w:line="276"/>
        <w:ind w:left="0" w:hanging="0"/>
        <w:jc w:val="both"/>
        <w:rPr>
          <w:szCs w:val="18"/>
        </w:rPr>
      </w:pPr>
      <w:r>
        <w:rPr>
          <w:szCs w:val="18"/>
        </w:rPr>
        <w:t>1. Zamawiający będzie wymagał od wybranego wykonawcy wniesienia zabezpieczenia należytego wykonania umowy – zgodnie z art. 148 ustawy Pzp wg jego wyboru w jednej lub kilku następujących formach:</w:t>
      </w:r>
    </w:p>
    <w:p>
      <w:pPr>
        <w:pStyle w:val="Normal"/>
        <w:spacing w:lineRule="auto" w:line="276" w:before="0" w:after="120"/>
        <w:ind w:left="0" w:hanging="0"/>
        <w:jc w:val="both"/>
        <w:rPr>
          <w:szCs w:val="18"/>
        </w:rPr>
      </w:pPr>
      <w:r>
        <w:rPr>
          <w:szCs w:val="18"/>
        </w:rPr>
        <w:t>1) pieniądza;</w:t>
      </w:r>
    </w:p>
    <w:p>
      <w:pPr>
        <w:pStyle w:val="Normal"/>
        <w:spacing w:lineRule="auto" w:line="276" w:before="0" w:after="120"/>
        <w:ind w:left="0" w:hanging="0"/>
        <w:jc w:val="both"/>
        <w:rPr>
          <w:szCs w:val="18"/>
        </w:rPr>
      </w:pPr>
      <w:r>
        <w:rPr>
          <w:szCs w:val="18"/>
        </w:rPr>
        <w:t>2) poręczeń bankowych i poręczeń spółdzielczej kasy oszczędnościowo – kredytowej;</w:t>
      </w:r>
    </w:p>
    <w:p>
      <w:pPr>
        <w:pStyle w:val="Normal"/>
        <w:spacing w:lineRule="auto" w:line="276" w:before="0" w:after="120"/>
        <w:ind w:left="0" w:hanging="0"/>
        <w:jc w:val="both"/>
        <w:rPr>
          <w:szCs w:val="18"/>
        </w:rPr>
      </w:pPr>
      <w:r>
        <w:rPr>
          <w:szCs w:val="18"/>
        </w:rPr>
        <w:t>3) gwarancji bankowych;</w:t>
      </w:r>
    </w:p>
    <w:p>
      <w:pPr>
        <w:pStyle w:val="Normal"/>
        <w:spacing w:lineRule="auto" w:line="276" w:before="0" w:after="120"/>
        <w:ind w:left="0" w:hanging="0"/>
        <w:jc w:val="both"/>
        <w:rPr>
          <w:szCs w:val="18"/>
        </w:rPr>
      </w:pPr>
      <w:r>
        <w:rPr>
          <w:szCs w:val="18"/>
        </w:rPr>
        <w:t>4) gwarancji ubezpieczeniowych;</w:t>
      </w:r>
    </w:p>
    <w:p>
      <w:pPr>
        <w:pStyle w:val="Normal"/>
        <w:spacing w:lineRule="auto" w:line="276" w:before="0" w:after="120"/>
        <w:ind w:left="0" w:hanging="0"/>
        <w:jc w:val="both"/>
        <w:rPr>
          <w:szCs w:val="18"/>
        </w:rPr>
      </w:pPr>
      <w:r>
        <w:rPr>
          <w:szCs w:val="18"/>
        </w:rPr>
        <w:t>5) poręczeniach udzielanych przez podmioty, o których mowa w art. 6 b ust. 5 pkt. 2. ustawy z dnia 9 listopada 2000r. o utworzeniu Polskiej Agencji Rozwoju Przedsiębiorczości.</w:t>
      </w:r>
    </w:p>
    <w:p>
      <w:pPr>
        <w:pStyle w:val="Normal"/>
        <w:spacing w:lineRule="auto" w:line="276"/>
        <w:ind w:left="0" w:hanging="0"/>
        <w:jc w:val="both"/>
        <w:rPr>
          <w:szCs w:val="18"/>
        </w:rPr>
      </w:pPr>
      <w:r>
        <w:rPr>
          <w:szCs w:val="18"/>
        </w:rPr>
        <w:t>2. Zabezpieczenie wnoszone w pieniądzu wykonawca wnosi przelewem na rachunek bankowy zamawiającego w  Powiatowy Bank Spółdzielczy we Wrześni oddział Miłosław – 33 9681 0002 2200 0202 0001 6290</w:t>
      </w:r>
    </w:p>
    <w:p>
      <w:pPr>
        <w:pStyle w:val="Normal"/>
        <w:spacing w:lineRule="auto" w:line="276" w:before="0" w:after="120"/>
        <w:ind w:left="0" w:hanging="0"/>
        <w:jc w:val="both"/>
        <w:rPr>
          <w:szCs w:val="18"/>
        </w:rPr>
      </w:pPr>
      <w:r>
        <w:rPr>
          <w:szCs w:val="18"/>
        </w:rPr>
        <w:t xml:space="preserve">3. Zabezpieczenie należytego wykonania umowy ustala się w wysokości </w:t>
      </w:r>
      <w:r>
        <w:rPr>
          <w:b/>
          <w:bCs/>
          <w:szCs w:val="18"/>
        </w:rPr>
        <w:t xml:space="preserve">10% ceny brutto </w:t>
      </w:r>
      <w:r>
        <w:rPr>
          <w:szCs w:val="18"/>
        </w:rPr>
        <w:t xml:space="preserve">podanej </w:t>
        <w:br/>
        <w:t>w ofercie, które zostanie wniesione najpóźniej w dniu podpisania umowy .</w:t>
      </w:r>
    </w:p>
    <w:p>
      <w:pPr>
        <w:pStyle w:val="Normal"/>
        <w:spacing w:lineRule="auto" w:line="276" w:before="0" w:after="120"/>
        <w:ind w:left="0" w:hanging="0"/>
        <w:jc w:val="both"/>
        <w:rPr>
          <w:szCs w:val="18"/>
        </w:rPr>
      </w:pPr>
      <w:r>
        <w:rPr>
          <w:szCs w:val="18"/>
        </w:rPr>
        <w:t>4. Zamawiający nie dopuszcza tworzenia zabezpieczenia poprzez potrącenia z należności za częściowo wykonane dostawy, usługi lub roboty budowlane.</w:t>
      </w:r>
    </w:p>
    <w:p>
      <w:pPr>
        <w:pStyle w:val="Normal"/>
        <w:spacing w:lineRule="auto" w:line="276" w:before="0" w:after="120"/>
        <w:ind w:left="0" w:hanging="0"/>
        <w:jc w:val="both"/>
        <w:rPr>
          <w:szCs w:val="18"/>
        </w:rPr>
      </w:pPr>
      <w:r>
        <w:rPr>
          <w:szCs w:val="18"/>
        </w:rPr>
        <w:t xml:space="preserve">5. Jeżeli okres na jaki ma zostać wniesione zabezpieczenie przekracza 5 lat, zabezpieczenie w pieniądzu wnosi się na cały ten okres, a zabezpieczenie w innej formie wnosi się na okres nie krótszy niż 5 lat, </w:t>
        <w:br/>
        <w:t>z jednoczesnym zobowiązaniem się wykonawcy do przedłużenia zabezpieczenia lub wniesienia nowego zabezpieczenia na kolejne okresy:</w:t>
      </w:r>
    </w:p>
    <w:p>
      <w:pPr>
        <w:pStyle w:val="Normal"/>
        <w:spacing w:lineRule="auto" w:line="276" w:before="0" w:after="120"/>
        <w:ind w:left="0" w:hanging="0"/>
        <w:jc w:val="both"/>
        <w:rPr>
          <w:szCs w:val="18"/>
        </w:rPr>
      </w:pPr>
      <w:r>
        <w:rPr>
          <w:szCs w:val="18"/>
        </w:rPr>
        <w:t>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pPr>
        <w:pStyle w:val="Normal"/>
        <w:spacing w:lineRule="auto" w:line="276" w:before="0" w:after="120"/>
        <w:ind w:left="0" w:hanging="0"/>
        <w:jc w:val="both"/>
        <w:rPr>
          <w:szCs w:val="18"/>
        </w:rPr>
      </w:pPr>
      <w:r>
        <w:rPr>
          <w:szCs w:val="18"/>
        </w:rPr>
        <w:t>2) wypłata, o której mowa w ust. 1, następuje nie później niż w ostatnim dniu ważności dotychczasowego zabezpieczenia.</w:t>
      </w:r>
    </w:p>
    <w:p>
      <w:pPr>
        <w:pStyle w:val="Normal"/>
        <w:spacing w:lineRule="auto" w:line="276"/>
        <w:ind w:left="0" w:hanging="0"/>
        <w:jc w:val="both"/>
        <w:rPr>
          <w:szCs w:val="18"/>
        </w:rPr>
      </w:pPr>
      <w:r>
        <w:rPr>
          <w:szCs w:val="18"/>
        </w:rPr>
        <w:t>6. 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w:t>
      </w:r>
    </w:p>
    <w:p>
      <w:pPr>
        <w:pStyle w:val="Normal"/>
        <w:spacing w:lineRule="auto" w:line="252"/>
        <w:ind w:left="0" w:hanging="0"/>
        <w:rPr>
          <w:rFonts w:eastAsia="Calibri"/>
          <w:sz w:val="2"/>
          <w:szCs w:val="18"/>
        </w:rPr>
      </w:pPr>
      <w:r>
        <w:rPr>
          <w:rFonts w:eastAsia="Calibri"/>
          <w:sz w:val="2"/>
          <w:szCs w:val="18"/>
        </w:rPr>
      </w:r>
    </w:p>
    <w:p>
      <w:pPr>
        <w:pStyle w:val="Normal"/>
        <w:spacing w:lineRule="auto" w:line="252"/>
        <w:ind w:left="0" w:hanging="0"/>
        <w:rPr>
          <w:rFonts w:eastAsia="Calibri"/>
          <w:sz w:val="18"/>
          <w:szCs w:val="18"/>
        </w:rPr>
      </w:pPr>
      <w:r>
        <w:rPr>
          <w:rFonts w:eastAsia="Calibri"/>
          <w:sz w:val="18"/>
          <w:szCs w:val="18"/>
        </w:rPr>
      </w:r>
    </w:p>
    <w:p>
      <w:pPr>
        <w:pStyle w:val="Artyku"/>
        <w:numPr>
          <w:ilvl w:val="0"/>
          <w:numId w:val="1"/>
        </w:numPr>
        <w:rPr/>
      </w:pPr>
      <w:bookmarkStart w:id="18" w:name="_Toc496698279"/>
      <w:r>
        <w:rPr/>
        <w:t xml:space="preserve">Istotne dla stron postanowienia, które zostaną wprowadzone do treści zawieranej umowy </w:t>
        <w:br/>
        <w:t>w sprawie zamówienia publicznego, ogólne warunki umowy albo wzór umowy</w:t>
      </w:r>
      <w:bookmarkEnd w:id="18"/>
    </w:p>
    <w:p>
      <w:pPr>
        <w:pStyle w:val="Normal"/>
        <w:spacing w:lineRule="auto" w:line="252"/>
        <w:ind w:left="284" w:hanging="0"/>
        <w:jc w:val="both"/>
        <w:rPr>
          <w:rFonts w:eastAsia="Calibri"/>
          <w:b/>
          <w:b/>
          <w:bCs/>
          <w:szCs w:val="18"/>
        </w:rPr>
      </w:pPr>
      <w:r>
        <w:rPr>
          <w:rFonts w:eastAsia="Calibri"/>
          <w:b/>
          <w:bCs/>
          <w:szCs w:val="18"/>
        </w:rPr>
      </w:r>
    </w:p>
    <w:p>
      <w:pPr>
        <w:pStyle w:val="Normal"/>
        <w:spacing w:lineRule="auto" w:line="276" w:before="0" w:after="120"/>
        <w:ind w:left="0" w:hanging="0"/>
        <w:jc w:val="both"/>
        <w:rPr>
          <w:szCs w:val="24"/>
        </w:rPr>
      </w:pPr>
      <w:r>
        <w:rPr>
          <w:szCs w:val="24"/>
        </w:rPr>
        <w:t xml:space="preserve">1. Postanowienia umowy zawarto w projekcie umowy, który stanowi </w:t>
      </w:r>
      <w:r>
        <w:rPr>
          <w:b/>
          <w:szCs w:val="24"/>
        </w:rPr>
        <w:t>zał. nr 2 do SIWZ</w:t>
      </w:r>
      <w:r>
        <w:rPr>
          <w:szCs w:val="24"/>
        </w:rPr>
        <w:t>.</w:t>
      </w:r>
    </w:p>
    <w:p>
      <w:pPr>
        <w:pStyle w:val="Normal"/>
        <w:spacing w:lineRule="auto" w:line="276" w:before="0" w:after="120"/>
        <w:ind w:left="0" w:hanging="0"/>
        <w:jc w:val="both"/>
        <w:rPr>
          <w:szCs w:val="24"/>
        </w:rPr>
      </w:pPr>
      <w:r>
        <w:rPr>
          <w:szCs w:val="24"/>
        </w:rPr>
        <w:t xml:space="preserve">2. Zamawiający informuje, że przewiduje możliwości zmiany postanowień umowy na podstawie art. 144 ustawy Pzp, w stosunku do treści oferty, na podstawie której dokonano wyboru oferty, </w:t>
        <w:br/>
        <w:t>z zastrzeżeniem, że zmiana umowy może nastąpić wyłącznie za zgodą obydwu stron wyrażoną na piśmie pod rygorem nieważności, jeżeli służyć będzie należytemu wykonaniu umowy.</w:t>
      </w:r>
    </w:p>
    <w:p>
      <w:pPr>
        <w:pStyle w:val="Normal"/>
        <w:spacing w:lineRule="auto" w:line="276"/>
        <w:ind w:left="0" w:hanging="0"/>
        <w:jc w:val="both"/>
        <w:rPr>
          <w:szCs w:val="24"/>
        </w:rPr>
      </w:pPr>
      <w:r>
        <w:rPr>
          <w:szCs w:val="24"/>
        </w:rPr>
        <w:t xml:space="preserve">3. Dopuszczalne zmiany postanowień umowy oraz określenie warunków zmian określa wzór umowy </w:t>
        <w:br/>
        <w:t>w sprawie zamówienia publicznego stanowiący załącznik nr 2 do SIWZ. Wzór umowy stanowi treść SIWZ.</w:t>
      </w:r>
    </w:p>
    <w:p>
      <w:pPr>
        <w:pStyle w:val="Normal"/>
        <w:spacing w:lineRule="auto" w:line="276"/>
        <w:ind w:left="0" w:hanging="0"/>
        <w:jc w:val="both"/>
        <w:rPr>
          <w:szCs w:val="24"/>
        </w:rPr>
      </w:pPr>
      <w:r>
        <w:rPr>
          <w:szCs w:val="24"/>
        </w:rPr>
      </w:r>
    </w:p>
    <w:p>
      <w:pPr>
        <w:pStyle w:val="Artyku"/>
        <w:numPr>
          <w:ilvl w:val="0"/>
          <w:numId w:val="1"/>
        </w:numPr>
        <w:rPr/>
      </w:pPr>
      <w:bookmarkStart w:id="19" w:name="_Toc496698280"/>
      <w:r>
        <w:rPr/>
        <w:t>Pouczenie o środkach ochrony prawnej przysługujących Wykonawcy w toku postępowania o udzielenie zamówienia</w:t>
      </w:r>
      <w:bookmarkEnd w:id="19"/>
    </w:p>
    <w:p>
      <w:pPr>
        <w:pStyle w:val="Normal"/>
        <w:spacing w:lineRule="auto" w:line="252"/>
        <w:ind w:left="284" w:hanging="0"/>
        <w:rPr>
          <w:rFonts w:eastAsia="Calibri"/>
          <w:b/>
          <w:b/>
          <w:bCs/>
          <w:szCs w:val="18"/>
        </w:rPr>
      </w:pPr>
      <w:r>
        <w:rPr>
          <w:rFonts w:eastAsia="Calibri"/>
          <w:b/>
          <w:bCs/>
          <w:szCs w:val="18"/>
        </w:rPr>
      </w:r>
    </w:p>
    <w:p>
      <w:pPr>
        <w:pStyle w:val="Normal"/>
        <w:spacing w:lineRule="auto" w:line="252" w:before="0" w:after="120"/>
        <w:ind w:left="0" w:hanging="0"/>
        <w:jc w:val="both"/>
        <w:rPr>
          <w:rFonts w:eastAsia="Calibri"/>
          <w:szCs w:val="18"/>
        </w:rPr>
      </w:pPr>
      <w:r>
        <w:rPr>
          <w:rFonts w:eastAsia="Calibri"/>
          <w:szCs w:val="18"/>
        </w:rPr>
        <w:t>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pPr>
        <w:pStyle w:val="Normal"/>
        <w:spacing w:lineRule="auto" w:line="252" w:before="0" w:after="120"/>
        <w:ind w:left="0" w:hanging="0"/>
        <w:jc w:val="both"/>
        <w:rPr>
          <w:rFonts w:eastAsia="Calibri"/>
          <w:szCs w:val="18"/>
        </w:rPr>
      </w:pPr>
      <w:r>
        <w:rPr>
          <w:rFonts w:eastAsia="Calibri"/>
          <w:szCs w:val="18"/>
        </w:rPr>
      </w:r>
    </w:p>
    <w:p>
      <w:pPr>
        <w:pStyle w:val="Normal"/>
        <w:spacing w:lineRule="auto" w:line="252" w:before="0" w:after="120"/>
        <w:ind w:left="0" w:hanging="0"/>
        <w:jc w:val="both"/>
        <w:rPr>
          <w:rFonts w:eastAsia="Calibri"/>
          <w:bCs/>
          <w:szCs w:val="18"/>
        </w:rPr>
      </w:pPr>
      <w:r>
        <w:rPr>
          <w:rFonts w:eastAsia="Calibri"/>
          <w:szCs w:val="18"/>
        </w:rPr>
        <w:t>2. Odwołanie przysługuje wyłącznie od czynności wymienionych w art.180 ust.2 pkt. 2-6 ustawy Pzp .</w:t>
      </w:r>
    </w:p>
    <w:p>
      <w:pPr>
        <w:pStyle w:val="Normal"/>
        <w:spacing w:lineRule="auto" w:line="252" w:before="0" w:after="120"/>
        <w:ind w:left="0" w:hanging="0"/>
        <w:jc w:val="both"/>
        <w:rPr>
          <w:rFonts w:eastAsia="Calibri"/>
          <w:szCs w:val="18"/>
        </w:rPr>
      </w:pPr>
      <w:r>
        <w:rPr>
          <w:rFonts w:eastAsia="Calibri"/>
          <w:szCs w:val="18"/>
        </w:rPr>
        <w:t>3. 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pPr>
        <w:pStyle w:val="Normal"/>
        <w:spacing w:lineRule="auto" w:line="252" w:before="0" w:after="120"/>
        <w:ind w:left="0" w:hanging="0"/>
        <w:jc w:val="both"/>
        <w:rPr>
          <w:rFonts w:eastAsia="Calibri"/>
          <w:szCs w:val="18"/>
        </w:rPr>
      </w:pPr>
      <w:r>
        <w:rPr>
          <w:rFonts w:eastAsia="Calibri"/>
          <w:szCs w:val="18"/>
        </w:rPr>
        <w:t>4. Odwołanie wnosi się do Prezesa Krajowej Izby Odwoławczej w formie pisemnej lub w postaci elektronicznej opatrzonej odpowiednio własnoręcznym podpisem albo kwalifikowanym podpisem elektronicznym.</w:t>
      </w:r>
    </w:p>
    <w:p>
      <w:pPr>
        <w:pStyle w:val="Normal"/>
        <w:spacing w:lineRule="auto" w:line="252"/>
        <w:ind w:left="0" w:hanging="0"/>
        <w:jc w:val="both"/>
        <w:rPr>
          <w:rFonts w:eastAsia="Calibri"/>
          <w:szCs w:val="18"/>
        </w:rPr>
      </w:pPr>
      <w:r>
        <w:rPr>
          <w:rFonts w:eastAsia="Calibri"/>
          <w:szCs w:val="18"/>
        </w:rPr>
        <w:t>5.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pPr>
        <w:pStyle w:val="Normal"/>
        <w:spacing w:lineRule="auto" w:line="252"/>
        <w:ind w:left="284" w:hanging="0"/>
        <w:rPr>
          <w:rFonts w:eastAsia="Calibri"/>
          <w:sz w:val="18"/>
          <w:szCs w:val="18"/>
        </w:rPr>
      </w:pPr>
      <w:r>
        <w:rPr>
          <w:rFonts w:eastAsia="Calibri"/>
          <w:sz w:val="18"/>
          <w:szCs w:val="18"/>
        </w:rPr>
      </w:r>
    </w:p>
    <w:p>
      <w:pPr>
        <w:pStyle w:val="Artyku"/>
        <w:numPr>
          <w:ilvl w:val="0"/>
          <w:numId w:val="1"/>
        </w:numPr>
        <w:rPr/>
      </w:pPr>
      <w:bookmarkStart w:id="20" w:name="_Toc496698281"/>
      <w:r>
        <w:rPr/>
        <w:t>Opis części zamówienia</w:t>
      </w:r>
      <w:bookmarkEnd w:id="20"/>
    </w:p>
    <w:p>
      <w:pPr>
        <w:pStyle w:val="Normal"/>
        <w:spacing w:lineRule="auto" w:line="252"/>
        <w:ind w:left="284" w:hanging="0"/>
        <w:jc w:val="both"/>
        <w:rPr>
          <w:rFonts w:eastAsia="Calibri"/>
          <w:bCs/>
          <w:szCs w:val="18"/>
        </w:rPr>
      </w:pPr>
      <w:r>
        <w:rPr>
          <w:rFonts w:eastAsia="Calibri"/>
          <w:bCs/>
          <w:szCs w:val="18"/>
        </w:rPr>
      </w:r>
    </w:p>
    <w:p>
      <w:pPr>
        <w:pStyle w:val="Normal"/>
        <w:spacing w:lineRule="auto" w:line="252"/>
        <w:ind w:left="0" w:hanging="0"/>
        <w:jc w:val="both"/>
        <w:rPr>
          <w:rFonts w:eastAsia="Calibri"/>
          <w:bCs/>
          <w:szCs w:val="18"/>
        </w:rPr>
      </w:pPr>
      <w:r>
        <w:rPr>
          <w:rFonts w:eastAsia="Calibri"/>
          <w:szCs w:val="18"/>
        </w:rPr>
        <w:t xml:space="preserve">Zamawiający </w:t>
      </w:r>
      <w:r>
        <w:rPr>
          <w:rFonts w:eastAsia="Calibri"/>
          <w:b/>
          <w:szCs w:val="18"/>
        </w:rPr>
        <w:t xml:space="preserve">nie </w:t>
      </w:r>
      <w:r>
        <w:rPr>
          <w:rFonts w:eastAsia="Calibri"/>
          <w:b/>
          <w:bCs/>
          <w:szCs w:val="18"/>
        </w:rPr>
        <w:t xml:space="preserve">dopuszcza </w:t>
      </w:r>
      <w:r>
        <w:rPr>
          <w:rFonts w:eastAsia="Calibri"/>
          <w:szCs w:val="18"/>
        </w:rPr>
        <w:t xml:space="preserve">składania ofert częściowych. </w:t>
      </w:r>
    </w:p>
    <w:p>
      <w:pPr>
        <w:pStyle w:val="Normal"/>
        <w:spacing w:lineRule="auto" w:line="252"/>
        <w:ind w:left="0" w:hanging="0"/>
        <w:jc w:val="both"/>
        <w:rPr>
          <w:rFonts w:eastAsia="Calibri"/>
          <w:bCs/>
          <w:szCs w:val="18"/>
        </w:rPr>
      </w:pPr>
      <w:r>
        <w:rPr>
          <w:rFonts w:eastAsia="Calibri"/>
          <w:bCs/>
          <w:szCs w:val="18"/>
        </w:rPr>
      </w:r>
    </w:p>
    <w:p>
      <w:pPr>
        <w:pStyle w:val="Artyku"/>
        <w:numPr>
          <w:ilvl w:val="0"/>
          <w:numId w:val="1"/>
        </w:numPr>
        <w:rPr/>
      </w:pPr>
      <w:bookmarkStart w:id="21" w:name="_Toc496698282"/>
      <w:r>
        <w:rPr/>
        <w:t xml:space="preserve">Umowa ramowa, zamówienia, o których mowa w art. 67 ust. 1 pkt. 6 ustawy, </w:t>
        <w:br/>
        <w:t>oferty wariantowe</w:t>
      </w:r>
      <w:bookmarkEnd w:id="21"/>
    </w:p>
    <w:p>
      <w:pPr>
        <w:pStyle w:val="Artyku"/>
        <w:ind w:left="1077" w:hanging="227"/>
        <w:rPr/>
      </w:pPr>
      <w:r>
        <w:rPr/>
      </w:r>
    </w:p>
    <w:p>
      <w:pPr>
        <w:pStyle w:val="Normal"/>
        <w:spacing w:lineRule="auto" w:line="252"/>
        <w:ind w:left="0" w:hanging="0"/>
        <w:jc w:val="both"/>
        <w:rPr>
          <w:rFonts w:eastAsia="Calibri"/>
          <w:szCs w:val="18"/>
        </w:rPr>
      </w:pPr>
      <w:r>
        <w:rPr>
          <w:rFonts w:eastAsia="Calibri"/>
          <w:szCs w:val="18"/>
        </w:rPr>
        <w:t xml:space="preserve">1. Zamawiający </w:t>
      </w:r>
      <w:r>
        <w:rPr>
          <w:rFonts w:eastAsia="Calibri"/>
          <w:b/>
          <w:bCs/>
          <w:szCs w:val="18"/>
        </w:rPr>
        <w:t xml:space="preserve">nie przewiduje </w:t>
      </w:r>
      <w:r>
        <w:rPr>
          <w:rFonts w:eastAsia="Calibri"/>
          <w:szCs w:val="18"/>
        </w:rPr>
        <w:t>zawarcia umowy ramowej.</w:t>
      </w:r>
    </w:p>
    <w:p>
      <w:pPr>
        <w:pStyle w:val="Normal"/>
        <w:spacing w:lineRule="auto" w:line="252"/>
        <w:ind w:left="0" w:hanging="0"/>
        <w:jc w:val="both"/>
        <w:rPr>
          <w:rFonts w:eastAsia="Calibri"/>
          <w:szCs w:val="18"/>
        </w:rPr>
      </w:pPr>
      <w:r>
        <w:rPr>
          <w:rFonts w:eastAsia="Calibri"/>
          <w:szCs w:val="18"/>
        </w:rPr>
        <w:t xml:space="preserve">2. Zamawiający </w:t>
      </w:r>
      <w:r>
        <w:rPr>
          <w:rFonts w:eastAsia="Calibri"/>
          <w:b/>
          <w:szCs w:val="18"/>
        </w:rPr>
        <w:t>nie</w:t>
      </w:r>
      <w:r>
        <w:rPr>
          <w:rFonts w:eastAsia="Calibri"/>
          <w:b/>
          <w:bCs/>
          <w:szCs w:val="18"/>
        </w:rPr>
        <w:t xml:space="preserve"> przewiduje </w:t>
      </w:r>
      <w:r>
        <w:rPr>
          <w:rFonts w:eastAsia="Calibri"/>
          <w:szCs w:val="18"/>
        </w:rPr>
        <w:t>udzielenie zamówień, o których mowa w art. 67 ust. 1 pkt 6 ustawy Pzp.</w:t>
      </w:r>
    </w:p>
    <w:p>
      <w:pPr>
        <w:pStyle w:val="Normal"/>
        <w:spacing w:lineRule="auto" w:line="252"/>
        <w:ind w:left="0" w:hanging="0"/>
        <w:jc w:val="both"/>
        <w:rPr>
          <w:rFonts w:eastAsia="Calibri"/>
          <w:szCs w:val="18"/>
        </w:rPr>
      </w:pPr>
      <w:r>
        <w:rPr>
          <w:rFonts w:eastAsia="Calibri"/>
          <w:szCs w:val="18"/>
        </w:rPr>
        <w:t xml:space="preserve">3. Zamawiający </w:t>
      </w:r>
      <w:r>
        <w:rPr>
          <w:rFonts w:eastAsia="Calibri"/>
          <w:b/>
          <w:bCs/>
          <w:szCs w:val="18"/>
        </w:rPr>
        <w:t xml:space="preserve">nie dopuszcza </w:t>
      </w:r>
      <w:r>
        <w:rPr>
          <w:rFonts w:eastAsia="Calibri"/>
          <w:szCs w:val="18"/>
        </w:rPr>
        <w:t>składania ofert wariantowych.</w:t>
      </w:r>
    </w:p>
    <w:p>
      <w:pPr>
        <w:pStyle w:val="Normal"/>
        <w:spacing w:lineRule="auto" w:line="252"/>
        <w:ind w:left="284" w:hanging="0"/>
        <w:jc w:val="both"/>
        <w:rPr>
          <w:rFonts w:eastAsia="Calibri"/>
          <w:b/>
          <w:b/>
          <w:bCs/>
          <w:szCs w:val="18"/>
        </w:rPr>
      </w:pPr>
      <w:r>
        <w:rPr>
          <w:rFonts w:eastAsia="Calibri"/>
          <w:b/>
          <w:bCs/>
          <w:szCs w:val="18"/>
        </w:rPr>
      </w:r>
    </w:p>
    <w:p>
      <w:pPr>
        <w:pStyle w:val="Artyku"/>
        <w:numPr>
          <w:ilvl w:val="0"/>
          <w:numId w:val="1"/>
        </w:numPr>
        <w:spacing w:before="0" w:after="120"/>
        <w:contextualSpacing/>
        <w:rPr/>
      </w:pPr>
      <w:bookmarkStart w:id="22" w:name="_Toc496698283"/>
      <w:r>
        <w:rPr/>
        <w:t>Aukcja elektroniczna</w:t>
      </w:r>
      <w:bookmarkEnd w:id="22"/>
    </w:p>
    <w:p>
      <w:pPr>
        <w:pStyle w:val="Normal"/>
        <w:spacing w:lineRule="auto" w:line="252"/>
        <w:ind w:left="0" w:firstLine="284"/>
        <w:jc w:val="both"/>
        <w:rPr>
          <w:rFonts w:eastAsia="Calibri"/>
          <w:szCs w:val="18"/>
        </w:rPr>
      </w:pPr>
      <w:r>
        <w:rPr>
          <w:rFonts w:eastAsia="Calibri"/>
          <w:szCs w:val="18"/>
        </w:rPr>
        <w:t xml:space="preserve">Zamawiający </w:t>
      </w:r>
      <w:r>
        <w:rPr>
          <w:rFonts w:eastAsia="Calibri"/>
          <w:b/>
          <w:bCs/>
          <w:szCs w:val="18"/>
        </w:rPr>
        <w:t xml:space="preserve">nie przewiduje </w:t>
      </w:r>
      <w:r>
        <w:rPr>
          <w:rFonts w:eastAsia="Calibri"/>
          <w:szCs w:val="18"/>
        </w:rPr>
        <w:t>zastosowania w celu wyboru Wykonawcy aukcji elektronicznej.</w:t>
      </w:r>
    </w:p>
    <w:p>
      <w:pPr>
        <w:pStyle w:val="Normal"/>
        <w:spacing w:lineRule="auto" w:line="252"/>
        <w:ind w:left="0" w:hanging="0"/>
        <w:jc w:val="both"/>
        <w:rPr>
          <w:rFonts w:eastAsia="Calibri"/>
          <w:bCs/>
          <w:szCs w:val="18"/>
        </w:rPr>
      </w:pPr>
      <w:r>
        <w:rPr>
          <w:rFonts w:eastAsia="Calibri"/>
          <w:bCs/>
          <w:szCs w:val="18"/>
        </w:rPr>
      </w:r>
    </w:p>
    <w:p>
      <w:pPr>
        <w:pStyle w:val="Artyku"/>
        <w:numPr>
          <w:ilvl w:val="0"/>
          <w:numId w:val="1"/>
        </w:numPr>
        <w:spacing w:before="0" w:after="120"/>
        <w:contextualSpacing/>
        <w:rPr/>
      </w:pPr>
      <w:bookmarkStart w:id="23" w:name="_Toc496698284"/>
      <w:r>
        <w:rPr/>
        <w:t>Informacje dotyczące rozliczeń z zamawiającym</w:t>
      </w:r>
      <w:bookmarkEnd w:id="23"/>
    </w:p>
    <w:p>
      <w:pPr>
        <w:pStyle w:val="Normal"/>
        <w:spacing w:lineRule="auto" w:line="252"/>
        <w:ind w:left="284" w:hanging="0"/>
        <w:jc w:val="both"/>
        <w:rPr>
          <w:rFonts w:eastAsia="Calibri"/>
          <w:szCs w:val="18"/>
        </w:rPr>
      </w:pPr>
      <w:r>
        <w:rPr>
          <w:rFonts w:eastAsia="Calibri"/>
          <w:szCs w:val="18"/>
        </w:rPr>
        <w:t xml:space="preserve">Zamawiający </w:t>
      </w:r>
      <w:r>
        <w:rPr>
          <w:rFonts w:eastAsia="Calibri"/>
          <w:b/>
          <w:bCs/>
          <w:szCs w:val="18"/>
        </w:rPr>
        <w:t xml:space="preserve">nie dopuszcza </w:t>
      </w:r>
      <w:r>
        <w:rPr>
          <w:rFonts w:eastAsia="Calibri"/>
          <w:szCs w:val="18"/>
        </w:rPr>
        <w:t>rozliczeń w walutach obcych.</w:t>
      </w:r>
    </w:p>
    <w:p>
      <w:pPr>
        <w:pStyle w:val="Normal"/>
        <w:spacing w:lineRule="auto" w:line="252"/>
        <w:jc w:val="both"/>
        <w:rPr>
          <w:rFonts w:eastAsia="Calibri"/>
          <w:bCs/>
          <w:szCs w:val="18"/>
        </w:rPr>
      </w:pPr>
      <w:r>
        <w:rPr>
          <w:rFonts w:eastAsia="Calibri"/>
          <w:bCs/>
          <w:szCs w:val="18"/>
        </w:rPr>
      </w:r>
    </w:p>
    <w:p>
      <w:pPr>
        <w:pStyle w:val="Artyku"/>
        <w:numPr>
          <w:ilvl w:val="0"/>
          <w:numId w:val="1"/>
        </w:numPr>
        <w:spacing w:before="0" w:after="120"/>
        <w:contextualSpacing/>
        <w:rPr/>
      </w:pPr>
      <w:bookmarkStart w:id="24" w:name="_Toc496698285"/>
      <w:r>
        <w:rPr/>
        <w:t>Koszty udziału w postępowaniu o zamówienie publiczne</w:t>
      </w:r>
      <w:bookmarkEnd w:id="24"/>
    </w:p>
    <w:p>
      <w:pPr>
        <w:pStyle w:val="Normal"/>
        <w:spacing w:lineRule="auto" w:line="252"/>
        <w:ind w:left="284" w:hanging="0"/>
        <w:jc w:val="both"/>
        <w:rPr>
          <w:rFonts w:eastAsia="Calibri"/>
          <w:szCs w:val="18"/>
        </w:rPr>
      </w:pPr>
      <w:r>
        <w:rPr>
          <w:rFonts w:eastAsia="Calibri"/>
          <w:bCs/>
          <w:szCs w:val="18"/>
        </w:rPr>
        <w:t>K</w:t>
      </w:r>
      <w:r>
        <w:rPr>
          <w:rFonts w:eastAsia="Calibri"/>
          <w:szCs w:val="18"/>
        </w:rPr>
        <w:t>oszty przygotowania i złożenia oferty ponosi Wykonawca.</w:t>
      </w:r>
    </w:p>
    <w:p>
      <w:pPr>
        <w:pStyle w:val="Normal"/>
        <w:spacing w:lineRule="auto" w:line="252"/>
        <w:jc w:val="both"/>
        <w:rPr>
          <w:rFonts w:eastAsia="Calibri"/>
          <w:szCs w:val="18"/>
        </w:rPr>
      </w:pPr>
      <w:r>
        <w:rPr>
          <w:rFonts w:eastAsia="Calibri"/>
          <w:szCs w:val="18"/>
        </w:rPr>
      </w:r>
    </w:p>
    <w:p>
      <w:pPr>
        <w:pStyle w:val="Normal"/>
        <w:spacing w:lineRule="auto" w:line="252"/>
        <w:jc w:val="both"/>
        <w:rPr>
          <w:rFonts w:eastAsia="Calibri"/>
          <w:szCs w:val="18"/>
        </w:rPr>
      </w:pPr>
      <w:r>
        <w:rPr>
          <w:rFonts w:eastAsia="Calibri"/>
          <w:szCs w:val="18"/>
        </w:rPr>
      </w:r>
    </w:p>
    <w:p>
      <w:pPr>
        <w:pStyle w:val="Normal"/>
        <w:spacing w:lineRule="auto" w:line="252"/>
        <w:jc w:val="both"/>
        <w:rPr>
          <w:rFonts w:eastAsia="Calibri"/>
          <w:szCs w:val="18"/>
        </w:rPr>
      </w:pPr>
      <w:r>
        <w:rPr>
          <w:rFonts w:eastAsia="Calibri"/>
          <w:szCs w:val="18"/>
        </w:rPr>
      </w:r>
    </w:p>
    <w:p>
      <w:pPr>
        <w:pStyle w:val="Artyku"/>
        <w:numPr>
          <w:ilvl w:val="0"/>
          <w:numId w:val="1"/>
        </w:numPr>
        <w:rPr/>
      </w:pPr>
      <w:bookmarkStart w:id="25" w:name="_Toc496698286"/>
      <w:r>
        <w:rPr>
          <w:bCs/>
        </w:rPr>
        <w:t>Postanowienia końcowe - z</w:t>
      </w:r>
      <w:r>
        <w:rPr/>
        <w:t>asady udostępniania dokumentów</w:t>
      </w:r>
      <w:bookmarkEnd w:id="25"/>
    </w:p>
    <w:p>
      <w:pPr>
        <w:pStyle w:val="Normal"/>
        <w:spacing w:lineRule="auto" w:line="252"/>
        <w:ind w:left="284" w:hanging="0"/>
        <w:jc w:val="both"/>
        <w:rPr>
          <w:rFonts w:eastAsia="Calibri"/>
          <w:bCs/>
          <w:szCs w:val="18"/>
        </w:rPr>
      </w:pPr>
      <w:r>
        <w:rPr>
          <w:rFonts w:eastAsia="Calibri"/>
          <w:bCs/>
          <w:szCs w:val="18"/>
        </w:rPr>
      </w:r>
    </w:p>
    <w:p>
      <w:pPr>
        <w:pStyle w:val="Normal"/>
        <w:spacing w:lineRule="auto" w:line="252" w:before="0" w:after="120"/>
        <w:ind w:left="0" w:hanging="0"/>
        <w:jc w:val="both"/>
        <w:rPr>
          <w:rFonts w:eastAsia="Calibri"/>
          <w:szCs w:val="18"/>
        </w:rPr>
      </w:pPr>
      <w:r>
        <w:rPr>
          <w:rFonts w:eastAsia="Calibri"/>
          <w:szCs w:val="18"/>
        </w:rPr>
        <w:t>1. Uczestnicy postępowania mają prawo wglądu do treści protokołu, wniosków po upływie terminu ich składania oraz ofert w trakcie prowadzonego postępowania z wyjątkiem dokumentów stanowiących załączniki do protokołu (jawne po zakończeniu postępowania) oraz stanowiących tajemnicę przedsiębiorstwa w rozumieniu przepisów o zwalczaniu nieuczciwej konkurencji zastrzeżonych przez uczestników postępowania.</w:t>
      </w:r>
    </w:p>
    <w:p>
      <w:pPr>
        <w:pStyle w:val="Normal"/>
        <w:spacing w:lineRule="auto" w:line="252" w:before="0" w:after="120"/>
        <w:ind w:left="0" w:hanging="0"/>
        <w:jc w:val="both"/>
        <w:rPr>
          <w:rFonts w:eastAsia="Calibri"/>
          <w:szCs w:val="18"/>
        </w:rPr>
      </w:pPr>
      <w:r>
        <w:rPr>
          <w:rFonts w:eastAsia="Calibri"/>
          <w:szCs w:val="18"/>
        </w:rPr>
        <w:t>2. W sprawach nieuregulowanych zastosowanie mają przepisy ustawy Prawo zamówień publicznych oraz Kodeks cywilny.</w:t>
      </w:r>
    </w:p>
    <w:p>
      <w:pPr>
        <w:pStyle w:val="ListParagraph"/>
        <w:spacing w:lineRule="auto" w:line="276" w:before="0" w:after="120"/>
        <w:ind w:left="0" w:hanging="0"/>
        <w:contextualSpacing/>
        <w:jc w:val="both"/>
        <w:rPr>
          <w:szCs w:val="18"/>
        </w:rPr>
      </w:pPr>
      <w:r>
        <w:rPr>
          <w:szCs w:val="18"/>
        </w:rPr>
        <w:t>3. W przypadku gdy jakakolwiek wartość dotycząca ww. warunku wyrażona będzie w walucie obcej Zamawiający przeliczy tę wartość w oparciu o średni kurs walut NBP dla danej waluty z daty wszczęcia postępowania o udzielenie zamówienia publicznego (za datę wszczęcia postępowania Zamawiający uznaje datę umieszczenia ogłoszenia o zamówienia w miejscu publicznie dostępnym w swojej siedzibie oraz na stronie internetowej). Jeżeli w tym dniu nie będzie opublikowany średni kurs NBP, Zamawiający przyjmie kurs średni z ostatniej tabeli przed wszczęciem postępowania.</w:t>
      </w:r>
    </w:p>
    <w:p>
      <w:pPr>
        <w:pStyle w:val="Normal"/>
        <w:spacing w:lineRule="auto" w:line="252"/>
        <w:ind w:left="284" w:hanging="0"/>
        <w:jc w:val="both"/>
        <w:rPr>
          <w:rFonts w:eastAsia="Calibri"/>
          <w:szCs w:val="18"/>
        </w:rPr>
      </w:pPr>
      <w:r>
        <w:rPr>
          <w:rFonts w:eastAsia="Calibri"/>
          <w:szCs w:val="18"/>
        </w:rPr>
      </w:r>
    </w:p>
    <w:p>
      <w:pPr>
        <w:pStyle w:val="Normal"/>
        <w:spacing w:lineRule="auto" w:line="252"/>
        <w:ind w:left="284" w:hanging="0"/>
        <w:jc w:val="both"/>
        <w:rPr>
          <w:rFonts w:eastAsia="Calibri"/>
          <w:szCs w:val="18"/>
        </w:rPr>
      </w:pPr>
      <w:r>
        <w:rPr>
          <w:rFonts w:eastAsia="Calibri"/>
          <w:szCs w:val="18"/>
        </w:rPr>
        <w:t xml:space="preserve">Załączniki </w:t>
      </w:r>
      <w:r>
        <w:rPr>
          <w:szCs w:val="18"/>
        </w:rPr>
        <w:t>składające się na integralną cześć specyfikacji:</w:t>
      </w:r>
    </w:p>
    <w:p>
      <w:pPr>
        <w:pStyle w:val="Normal"/>
        <w:ind w:left="0" w:hanging="0"/>
        <w:jc w:val="both"/>
        <w:rPr>
          <w:szCs w:val="18"/>
        </w:rPr>
      </w:pPr>
      <w:r>
        <w:rPr>
          <w:szCs w:val="18"/>
        </w:rPr>
      </w:r>
    </w:p>
    <w:p>
      <w:pPr>
        <w:pStyle w:val="Normal"/>
        <w:ind w:left="0" w:hanging="0"/>
        <w:jc w:val="both"/>
        <w:rPr>
          <w:szCs w:val="18"/>
        </w:rPr>
      </w:pPr>
      <w:r>
        <w:rPr>
          <w:szCs w:val="18"/>
        </w:rPr>
        <w:t>1. Formularz oferty (zał. Nr 1) z załącznikami ( zał. nr od 1a do 1e)</w:t>
      </w:r>
    </w:p>
    <w:p>
      <w:pPr>
        <w:pStyle w:val="Normal"/>
        <w:ind w:left="0" w:hanging="0"/>
        <w:jc w:val="both"/>
        <w:rPr>
          <w:szCs w:val="18"/>
        </w:rPr>
      </w:pPr>
      <w:r>
        <w:rPr>
          <w:szCs w:val="18"/>
        </w:rPr>
        <w:t>2. Wzór umowy (zał. nr 2)</w:t>
      </w:r>
    </w:p>
    <w:p>
      <w:pPr>
        <w:pStyle w:val="Normal"/>
        <w:ind w:left="0" w:hanging="0"/>
        <w:jc w:val="both"/>
        <w:rPr/>
      </w:pPr>
      <w:r>
        <w:rPr>
          <w:szCs w:val="18"/>
        </w:rPr>
        <w:t>3. Wzór zobowiązania podmiotu trzeciego (zał. nr 3)</w:t>
      </w:r>
    </w:p>
    <w:p>
      <w:pPr>
        <w:pStyle w:val="Normal"/>
        <w:ind w:left="0" w:hanging="0"/>
        <w:jc w:val="both"/>
        <w:rPr/>
      </w:pPr>
      <w:r>
        <w:rPr>
          <w:szCs w:val="18"/>
        </w:rPr>
        <w:t>4. Przedmiary robót</w:t>
      </w:r>
      <w:r>
        <w:rPr>
          <w:color w:val="000000"/>
          <w:szCs w:val="18"/>
        </w:rPr>
        <w:t xml:space="preserve"> (zał. nr 4)</w:t>
      </w:r>
    </w:p>
    <w:p>
      <w:pPr>
        <w:pStyle w:val="Normal"/>
        <w:ind w:left="0" w:hanging="0"/>
        <w:jc w:val="both"/>
        <w:rPr/>
      </w:pPr>
      <w:r>
        <w:rPr>
          <w:color w:val="000000"/>
          <w:szCs w:val="18"/>
        </w:rPr>
        <w:t>5. Szczegółowa Specyfikacja Techniczna Wykonania i Odbioru Robót (zał. nr 5)</w:t>
      </w:r>
    </w:p>
    <w:p>
      <w:pPr>
        <w:pStyle w:val="Normal"/>
        <w:ind w:left="0" w:hanging="0"/>
        <w:jc w:val="both"/>
        <w:rPr/>
      </w:pPr>
      <w:r>
        <w:rPr/>
      </w:r>
    </w:p>
    <w:sectPr>
      <w:headerReference w:type="default" r:id="rId5"/>
      <w:headerReference w:type="first" r:id="rId6"/>
      <w:footerReference w:type="default" r:id="rId7"/>
      <w:type w:val="nextPage"/>
      <w:pgSz w:w="11906" w:h="16838"/>
      <w:pgMar w:left="720" w:right="720" w:header="113" w:top="720" w:footer="0" w:bottom="72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Cambria">
    <w:charset w:val="ee"/>
    <w:family w:val="roman"/>
    <w:pitch w:val="variable"/>
  </w:font>
  <w:font w:name="Tahoma">
    <w:charset w:val="ee"/>
    <w:family w:val="roman"/>
    <w:pitch w:val="variable"/>
  </w:font>
  <w:font w:name="Liberation Sans">
    <w:altName w:val="Arial"/>
    <w:charset w:val="ee"/>
    <w:family w:val="swiss"/>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76628140"/>
    </w:sdtPr>
    <w:sdtContent>
      <w:p>
        <w:pPr>
          <w:pStyle w:val="Stopka"/>
          <w:jc w:val="center"/>
          <w:rPr/>
        </w:pPr>
        <w:r>
          <w:rPr/>
          <w:fldChar w:fldCharType="begin"/>
        </w:r>
        <w:r>
          <w:rPr/>
          <w:instrText> PAGE </w:instrText>
        </w:r>
        <w:r>
          <w:rPr/>
          <w:fldChar w:fldCharType="separate"/>
        </w:r>
        <w:r>
          <w:rPr/>
          <w:t>21</w:t>
        </w:r>
        <w:r>
          <w:rPr/>
          <w:fldChar w:fldCharType="end"/>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uppressAutoHyphens w:val="true"/>
      <w:overflowPunct w:val="true"/>
      <w:ind w:left="4247" w:hanging="4247"/>
      <w:jc w:val="center"/>
      <w:rPr>
        <w:rFonts w:eastAsia="Times New Roman"/>
        <w:color w:val="00000A"/>
        <w:kern w:val="2"/>
        <w:szCs w:val="24"/>
        <w:lang w:val="fr-CA" w:eastAsia="es-ES"/>
      </w:rPr>
    </w:pPr>
    <w:r>
      <w:rPr>
        <w:rFonts w:eastAsia="Times New Roman"/>
        <w:color w:val="00000A"/>
        <w:kern w:val="2"/>
        <w:szCs w:val="24"/>
        <w:lang w:val="fr-CA" w:eastAsia="es-ES"/>
      </w:rPr>
    </w:r>
  </w:p>
  <w:p>
    <w:pPr>
      <w:pStyle w:val="Normal"/>
      <w:suppressAutoHyphens w:val="true"/>
      <w:overflowPunct w:val="true"/>
      <w:ind w:left="4247" w:hanging="4247"/>
      <w:jc w:val="center"/>
      <w:rPr>
        <w:rFonts w:eastAsia="Times New Roman"/>
        <w:color w:val="00000A"/>
        <w:kern w:val="2"/>
        <w:sz w:val="16"/>
        <w:szCs w:val="24"/>
        <w:lang w:eastAsia="es-ES"/>
      </w:rPr>
    </w:pPr>
    <w:r>
      <w:rPr>
        <w:rFonts w:eastAsia="Times New Roman"/>
        <w:color w:val="00000A"/>
        <w:kern w:val="2"/>
        <w:sz w:val="16"/>
        <w:szCs w:val="24"/>
        <w:lang w:eastAsia="es-ES"/>
      </w:rPr>
    </w:r>
  </w:p>
  <w:p>
    <w:pPr>
      <w:pStyle w:val="Normal"/>
      <w:suppressAutoHyphens w:val="true"/>
      <w:overflowPunct w:val="true"/>
      <w:ind w:left="4247" w:hanging="4247"/>
      <w:jc w:val="center"/>
      <w:rPr>
        <w:rFonts w:eastAsia="Times New Roman"/>
        <w:color w:val="00000A"/>
        <w:kern w:val="2"/>
        <w:sz w:val="16"/>
        <w:szCs w:val="24"/>
        <w:lang w:eastAsia="es-ES"/>
      </w:rPr>
    </w:pPr>
    <w:r>
      <w:rPr>
        <w:rFonts w:eastAsia="Times New Roman"/>
        <w:color w:val="00000A"/>
        <w:kern w:val="2"/>
        <w:sz w:val="16"/>
        <w:szCs w:val="24"/>
        <w:lang w:eastAsia="es-ES"/>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uppressAutoHyphens w:val="true"/>
      <w:overflowPunct w:val="true"/>
      <w:ind w:left="4247" w:hanging="4247"/>
      <w:jc w:val="center"/>
      <w:rPr>
        <w:rFonts w:eastAsia="Times New Roman"/>
        <w:color w:val="00000A"/>
        <w:kern w:val="2"/>
        <w:szCs w:val="24"/>
        <w:lang w:val="fr-CA" w:eastAsia="es-ES"/>
      </w:rPr>
    </w:pPr>
    <w:r>
      <w:rPr>
        <w:rFonts w:eastAsia="Times New Roman"/>
        <w:color w:val="00000A"/>
        <w:kern w:val="2"/>
        <w:szCs w:val="24"/>
        <w:lang w:val="fr-CA" w:eastAsia="es-ES"/>
      </w:rPr>
    </w:r>
  </w:p>
  <w:p>
    <w:pPr>
      <w:pStyle w:val="Normal"/>
      <w:suppressAutoHyphens w:val="true"/>
      <w:overflowPunct w:val="true"/>
      <w:ind w:left="4247" w:hanging="4247"/>
      <w:jc w:val="center"/>
      <w:rPr>
        <w:rFonts w:eastAsia="Times New Roman"/>
        <w:color w:val="00000A"/>
        <w:kern w:val="2"/>
        <w:sz w:val="16"/>
        <w:szCs w:val="24"/>
        <w:lang w:eastAsia="es-ES"/>
      </w:rPr>
    </w:pPr>
    <w:r>
      <w:rPr>
        <w:rFonts w:eastAsia="Times New Roman"/>
        <w:color w:val="00000A"/>
        <w:kern w:val="2"/>
        <w:sz w:val="16"/>
        <w:szCs w:val="24"/>
        <w:lang w:eastAsia="es-E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1077" w:hanging="72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502" w:hanging="360"/>
      </w:pPr>
      <w:rPr>
        <w:sz w:val="36"/>
        <w:szCs w:val="24"/>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80"/>
  <w:defaultTabStop w:val="708"/>
  <w:compat>
    <w:compatSetting w:name="compatibilityMode" w:uri="http://schemas.microsoft.com/office/word" w:val="12"/>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eastAsiaTheme="minorHAnsi"/>
        <w:szCs w:val="22"/>
        <w:lang w:val="pl-PL"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35e78"/>
    <w:pPr>
      <w:widowControl/>
      <w:bidi w:val="0"/>
      <w:ind w:left="584" w:hanging="227"/>
      <w:jc w:val="left"/>
    </w:pPr>
    <w:rPr>
      <w:rFonts w:ascii="Times New Roman" w:hAnsi="Times New Roman" w:eastAsia="Calibri" w:cs="Times New Roman" w:eastAsiaTheme="minorHAnsi"/>
      <w:color w:val="auto"/>
      <w:kern w:val="0"/>
      <w:sz w:val="24"/>
      <w:szCs w:val="22"/>
      <w:lang w:val="pl-PL" w:eastAsia="en-US" w:bidi="ar-SA"/>
    </w:rPr>
  </w:style>
  <w:style w:type="paragraph" w:styleId="Nagwek1">
    <w:name w:val="Heading 1"/>
    <w:basedOn w:val="Normal"/>
    <w:link w:val="Nagwek1Znak"/>
    <w:uiPriority w:val="9"/>
    <w:qFormat/>
    <w:rsid w:val="003c772e"/>
    <w:pPr>
      <w:keepNext w:val="true"/>
      <w:keepLines/>
      <w:spacing w:before="480" w:after="0"/>
      <w:outlineLvl w:val="0"/>
    </w:pPr>
    <w:rPr>
      <w:rFonts w:eastAsia="" w:cs="" w:cstheme="majorBidi" w:eastAsiaTheme="majorEastAsia"/>
      <w:b/>
      <w:bCs/>
      <w:szCs w:val="28"/>
    </w:rPr>
  </w:style>
  <w:style w:type="paragraph" w:styleId="Nagwek2">
    <w:name w:val="Heading 2"/>
    <w:basedOn w:val="Normal"/>
    <w:link w:val="Nagwek2Znak"/>
    <w:uiPriority w:val="9"/>
    <w:unhideWhenUsed/>
    <w:qFormat/>
    <w:rsid w:val="003c772e"/>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Nagwek3">
    <w:name w:val="Heading 3"/>
    <w:basedOn w:val="Normal"/>
    <w:link w:val="Nagwek3Znak"/>
    <w:uiPriority w:val="9"/>
    <w:semiHidden/>
    <w:unhideWhenUsed/>
    <w:qFormat/>
    <w:rsid w:val="002f3a8e"/>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Czeinternetowe" w:customStyle="1">
    <w:name w:val="Łącze internetowe"/>
    <w:basedOn w:val="DefaultParagraphFont"/>
    <w:uiPriority w:val="99"/>
    <w:unhideWhenUsed/>
    <w:rsid w:val="00ce4d89"/>
    <w:rPr>
      <w:color w:val="0000FF" w:themeColor="hyperlink"/>
      <w:u w:val="single"/>
    </w:rPr>
  </w:style>
  <w:style w:type="character" w:styleId="Nagwek1Znak" w:customStyle="1">
    <w:name w:val="Nagłówek 1 Znak"/>
    <w:basedOn w:val="DefaultParagraphFont"/>
    <w:link w:val="Nagwek1"/>
    <w:uiPriority w:val="9"/>
    <w:qFormat/>
    <w:rsid w:val="003c772e"/>
    <w:rPr>
      <w:rFonts w:eastAsia="" w:cs="" w:cstheme="majorBidi" w:eastAsiaTheme="majorEastAsia"/>
      <w:b/>
      <w:bCs/>
      <w:szCs w:val="28"/>
    </w:rPr>
  </w:style>
  <w:style w:type="character" w:styleId="Nagwek2Znak" w:customStyle="1">
    <w:name w:val="Nagłówek 2 Znak"/>
    <w:basedOn w:val="DefaultParagraphFont"/>
    <w:link w:val="Nagwek2"/>
    <w:uiPriority w:val="9"/>
    <w:qFormat/>
    <w:rsid w:val="003c772e"/>
    <w:rPr>
      <w:rFonts w:ascii="Cambria" w:hAnsi="Cambria" w:eastAsia="" w:cs="" w:asciiTheme="majorHAnsi" w:cstheme="majorBidi" w:eastAsiaTheme="majorEastAsia" w:hAnsiTheme="majorHAnsi"/>
      <w:b/>
      <w:bCs/>
      <w:color w:val="4F81BD" w:themeColor="accent1"/>
      <w:sz w:val="26"/>
      <w:szCs w:val="26"/>
    </w:rPr>
  </w:style>
  <w:style w:type="character" w:styleId="TytuZnak" w:customStyle="1">
    <w:name w:val="Tytuł Znak"/>
    <w:basedOn w:val="DefaultParagraphFont"/>
    <w:link w:val="Tytu"/>
    <w:uiPriority w:val="10"/>
    <w:qFormat/>
    <w:rsid w:val="003c772e"/>
    <w:rPr>
      <w:rFonts w:ascii="Cambria" w:hAnsi="Cambria" w:eastAsia="" w:cs="" w:asciiTheme="majorHAnsi" w:cstheme="majorBidi" w:eastAsiaTheme="majorEastAsia" w:hAnsiTheme="majorHAnsi"/>
      <w:color w:val="17365D" w:themeColor="text2" w:themeShade="bf"/>
      <w:spacing w:val="5"/>
      <w:kern w:val="2"/>
      <w:sz w:val="52"/>
      <w:szCs w:val="52"/>
    </w:rPr>
  </w:style>
  <w:style w:type="character" w:styleId="PodtytuZnak" w:customStyle="1">
    <w:name w:val="Podtytuł Znak"/>
    <w:basedOn w:val="DefaultParagraphFont"/>
    <w:link w:val="Podtytu"/>
    <w:uiPriority w:val="11"/>
    <w:qFormat/>
    <w:rsid w:val="003c772e"/>
    <w:rPr>
      <w:rFonts w:ascii="Cambria" w:hAnsi="Cambria" w:eastAsia="" w:cs="" w:asciiTheme="majorHAnsi" w:cstheme="majorBidi" w:eastAsiaTheme="majorEastAsia" w:hAnsiTheme="majorHAnsi"/>
      <w:i/>
      <w:iCs/>
      <w:color w:val="4F81BD" w:themeColor="accent1"/>
      <w:spacing w:val="15"/>
      <w:szCs w:val="24"/>
    </w:rPr>
  </w:style>
  <w:style w:type="character" w:styleId="AkapitzlistZnak" w:customStyle="1">
    <w:name w:val="Akapit z listą Znak"/>
    <w:basedOn w:val="DefaultParagraphFont"/>
    <w:link w:val="Akapitzlist"/>
    <w:uiPriority w:val="34"/>
    <w:qFormat/>
    <w:rsid w:val="003c772e"/>
    <w:rPr/>
  </w:style>
  <w:style w:type="character" w:styleId="ArtykuZnak" w:customStyle="1">
    <w:name w:val="Artykuł Znak"/>
    <w:basedOn w:val="AkapitzlistZnak"/>
    <w:link w:val="Artyku"/>
    <w:qFormat/>
    <w:rsid w:val="003c772e"/>
    <w:rPr>
      <w:b/>
    </w:rPr>
  </w:style>
  <w:style w:type="character" w:styleId="UstpZnak" w:customStyle="1">
    <w:name w:val="Ustęp Znak"/>
    <w:basedOn w:val="AkapitzlistZnak"/>
    <w:link w:val="Ustp"/>
    <w:qFormat/>
    <w:rsid w:val="003c772e"/>
    <w:rPr>
      <w:rFonts w:eastAsia="Arial Narrow"/>
      <w:kern w:val="2"/>
      <w:szCs w:val="18"/>
      <w:lang w:eastAsia="pl-PL"/>
    </w:rPr>
  </w:style>
  <w:style w:type="character" w:styleId="PunktZnak" w:customStyle="1">
    <w:name w:val="Punkt Znak"/>
    <w:basedOn w:val="DefaultParagraphFont"/>
    <w:link w:val="Punkt"/>
    <w:qFormat/>
    <w:rsid w:val="003c772e"/>
    <w:rPr>
      <w:rFonts w:eastAsia="Arial Narrow"/>
      <w:kern w:val="2"/>
      <w:szCs w:val="18"/>
      <w:lang w:eastAsia="pl-PL"/>
    </w:rPr>
  </w:style>
  <w:style w:type="character" w:styleId="PodpunktZnak" w:customStyle="1">
    <w:name w:val="Podpunkt Znak"/>
    <w:basedOn w:val="DefaultParagraphFont"/>
    <w:link w:val="Podpunkt"/>
    <w:qFormat/>
    <w:rsid w:val="005823b4"/>
    <w:rPr>
      <w:rFonts w:eastAsia="Arial Narrow"/>
      <w:kern w:val="2"/>
      <w:szCs w:val="18"/>
      <w:lang w:eastAsia="pl-PL"/>
    </w:rPr>
  </w:style>
  <w:style w:type="character" w:styleId="PodpodpunktZnak" w:customStyle="1">
    <w:name w:val="Pod podpunkt Znak"/>
    <w:basedOn w:val="DefaultParagraphFont"/>
    <w:link w:val="Podpodpunkt"/>
    <w:qFormat/>
    <w:rsid w:val="005823b4"/>
    <w:rPr>
      <w:rFonts w:eastAsia="Arial Narrow"/>
      <w:kern w:val="2"/>
      <w:szCs w:val="18"/>
      <w:lang w:eastAsia="pl-PL"/>
    </w:rPr>
  </w:style>
  <w:style w:type="character" w:styleId="NagwekZnak" w:customStyle="1">
    <w:name w:val="Nagłówek Znak"/>
    <w:basedOn w:val="DefaultParagraphFont"/>
    <w:link w:val="Nagwek"/>
    <w:uiPriority w:val="99"/>
    <w:semiHidden/>
    <w:qFormat/>
    <w:rsid w:val="00d20b85"/>
    <w:rPr/>
  </w:style>
  <w:style w:type="character" w:styleId="StopkaZnak" w:customStyle="1">
    <w:name w:val="Stopka Znak"/>
    <w:basedOn w:val="DefaultParagraphFont"/>
    <w:link w:val="Stopka"/>
    <w:uiPriority w:val="99"/>
    <w:qFormat/>
    <w:rsid w:val="00d20b85"/>
    <w:rPr/>
  </w:style>
  <w:style w:type="character" w:styleId="TekstdymkaZnak" w:customStyle="1">
    <w:name w:val="Tekst dymka Znak"/>
    <w:basedOn w:val="DefaultParagraphFont"/>
    <w:link w:val="Tekstdymka"/>
    <w:uiPriority w:val="99"/>
    <w:semiHidden/>
    <w:qFormat/>
    <w:rsid w:val="002c601c"/>
    <w:rPr>
      <w:rFonts w:ascii="Tahoma" w:hAnsi="Tahoma" w:cs="Tahoma"/>
      <w:sz w:val="16"/>
      <w:szCs w:val="16"/>
    </w:rPr>
  </w:style>
  <w:style w:type="character" w:styleId="Nagwek3Znak" w:customStyle="1">
    <w:name w:val="Nagłówek 3 Znak"/>
    <w:basedOn w:val="DefaultParagraphFont"/>
    <w:link w:val="Nagwek3"/>
    <w:uiPriority w:val="9"/>
    <w:semiHidden/>
    <w:qFormat/>
    <w:rsid w:val="002f3a8e"/>
    <w:rPr>
      <w:rFonts w:ascii="Cambria" w:hAnsi="Cambria" w:eastAsia="" w:cs="" w:asciiTheme="majorHAnsi" w:cstheme="majorBidi" w:eastAsiaTheme="majorEastAsia" w:hAnsiTheme="majorHAnsi"/>
      <w:b/>
      <w:bCs/>
      <w:color w:val="4F81BD" w:themeColor="accent1"/>
    </w:rPr>
  </w:style>
  <w:style w:type="character" w:styleId="Annotationreference">
    <w:name w:val="annotation reference"/>
    <w:basedOn w:val="DefaultParagraphFont"/>
    <w:uiPriority w:val="99"/>
    <w:semiHidden/>
    <w:unhideWhenUsed/>
    <w:qFormat/>
    <w:rsid w:val="00e3020b"/>
    <w:rPr>
      <w:sz w:val="16"/>
      <w:szCs w:val="16"/>
    </w:rPr>
  </w:style>
  <w:style w:type="character" w:styleId="TekstkomentarzaZnak" w:customStyle="1">
    <w:name w:val="Tekst komentarza Znak"/>
    <w:basedOn w:val="DefaultParagraphFont"/>
    <w:link w:val="Tekstkomentarza"/>
    <w:uiPriority w:val="99"/>
    <w:semiHidden/>
    <w:qFormat/>
    <w:rsid w:val="00e3020b"/>
    <w:rPr>
      <w:sz w:val="20"/>
      <w:szCs w:val="20"/>
    </w:rPr>
  </w:style>
  <w:style w:type="character" w:styleId="TematkomentarzaZnak" w:customStyle="1">
    <w:name w:val="Temat komentarza Znak"/>
    <w:basedOn w:val="TekstkomentarzaZnak"/>
    <w:link w:val="Tematkomentarza"/>
    <w:uiPriority w:val="99"/>
    <w:semiHidden/>
    <w:qFormat/>
    <w:rsid w:val="00e3020b"/>
    <w:rPr>
      <w:b/>
      <w:bCs/>
      <w:sz w:val="20"/>
      <w:szCs w:val="20"/>
    </w:rPr>
  </w:style>
  <w:style w:type="character" w:styleId="ListLabel1" w:customStyle="1">
    <w:name w:val="ListLabel 1"/>
    <w:qFormat/>
    <w:rPr>
      <w:rFonts w:eastAsia="Arial Narrow"/>
    </w:rPr>
  </w:style>
  <w:style w:type="character" w:styleId="ListLabel2" w:customStyle="1">
    <w:name w:val="ListLabel 2"/>
    <w:qFormat/>
    <w:rPr>
      <w:rFonts w:eastAsia="Arial Narrow"/>
    </w:rPr>
  </w:style>
  <w:style w:type="character" w:styleId="ListLabel3" w:customStyle="1">
    <w:name w:val="ListLabel 3"/>
    <w:qFormat/>
    <w:rPr>
      <w:rFonts w:eastAsia="Arial Narrow"/>
    </w:rPr>
  </w:style>
  <w:style w:type="character" w:styleId="ListLabel4" w:customStyle="1">
    <w:name w:val="ListLabel 4"/>
    <w:qFormat/>
    <w:rPr>
      <w:rFonts w:eastAsia="Arial Narrow"/>
    </w:rPr>
  </w:style>
  <w:style w:type="character" w:styleId="ListLabel5" w:customStyle="1">
    <w:name w:val="ListLabel 5"/>
    <w:qFormat/>
    <w:rPr>
      <w:rFonts w:eastAsia="Arial Narrow"/>
    </w:rPr>
  </w:style>
  <w:style w:type="character" w:styleId="ListLabel6" w:customStyle="1">
    <w:name w:val="ListLabel 6"/>
    <w:qFormat/>
    <w:rPr>
      <w:rFonts w:eastAsia="Arial Narrow"/>
    </w:rPr>
  </w:style>
  <w:style w:type="character" w:styleId="ListLabel7" w:customStyle="1">
    <w:name w:val="ListLabel 7"/>
    <w:qFormat/>
    <w:rPr>
      <w:rFonts w:eastAsia="Arial Narrow"/>
    </w:rPr>
  </w:style>
  <w:style w:type="character" w:styleId="ListLabel8" w:customStyle="1">
    <w:name w:val="ListLabel 8"/>
    <w:qFormat/>
    <w:rPr>
      <w:rFonts w:eastAsia="Arial Narrow"/>
    </w:rPr>
  </w:style>
  <w:style w:type="character" w:styleId="ListLabel9" w:customStyle="1">
    <w:name w:val="ListLabel 9"/>
    <w:qFormat/>
    <w:rPr>
      <w:b/>
    </w:rPr>
  </w:style>
  <w:style w:type="character" w:styleId="ListLabel10" w:customStyle="1">
    <w:name w:val="ListLabel 10"/>
    <w:qFormat/>
    <w:rPr>
      <w:b/>
    </w:rPr>
  </w:style>
  <w:style w:type="character" w:styleId="ListLabel11" w:customStyle="1">
    <w:name w:val="ListLabel 11"/>
    <w:qFormat/>
    <w:rPr>
      <w:b/>
    </w:rPr>
  </w:style>
  <w:style w:type="character" w:styleId="ListLabel12" w:customStyle="1">
    <w:name w:val="ListLabel 12"/>
    <w:qFormat/>
    <w:rPr>
      <w:b/>
    </w:rPr>
  </w:style>
  <w:style w:type="character" w:styleId="ListLabel13" w:customStyle="1">
    <w:name w:val="ListLabel 13"/>
    <w:qFormat/>
    <w:rPr>
      <w:b/>
    </w:rPr>
  </w:style>
  <w:style w:type="character" w:styleId="ListLabel14" w:customStyle="1">
    <w:name w:val="ListLabel 14"/>
    <w:qFormat/>
    <w:rPr>
      <w:b/>
    </w:rPr>
  </w:style>
  <w:style w:type="character" w:styleId="ListLabel15" w:customStyle="1">
    <w:name w:val="ListLabel 15"/>
    <w:qFormat/>
    <w:rPr>
      <w:b/>
    </w:rPr>
  </w:style>
  <w:style w:type="character" w:styleId="ListLabel16" w:customStyle="1">
    <w:name w:val="ListLabel 16"/>
    <w:qFormat/>
    <w:rPr>
      <w:b/>
    </w:rPr>
  </w:style>
  <w:style w:type="character" w:styleId="ListLabel17" w:customStyle="1">
    <w:name w:val="ListLabel 17"/>
    <w:qFormat/>
    <w:rPr>
      <w:b/>
    </w:rPr>
  </w:style>
  <w:style w:type="character" w:styleId="ListLabel18" w:customStyle="1">
    <w:name w:val="ListLabel 18"/>
    <w:qFormat/>
    <w:rPr>
      <w:rFonts w:eastAsia="Arial Narrow"/>
    </w:rPr>
  </w:style>
  <w:style w:type="character" w:styleId="ListLabel19" w:customStyle="1">
    <w:name w:val="ListLabel 19"/>
    <w:qFormat/>
    <w:rPr>
      <w:rFonts w:eastAsia="Arial Narrow"/>
    </w:rPr>
  </w:style>
  <w:style w:type="character" w:styleId="ListLabel20" w:customStyle="1">
    <w:name w:val="ListLabel 20"/>
    <w:qFormat/>
    <w:rPr>
      <w:rFonts w:eastAsia="Arial Narrow"/>
    </w:rPr>
  </w:style>
  <w:style w:type="character" w:styleId="ListLabel21" w:customStyle="1">
    <w:name w:val="ListLabel 21"/>
    <w:qFormat/>
    <w:rPr>
      <w:rFonts w:eastAsia="Arial Narrow"/>
    </w:rPr>
  </w:style>
  <w:style w:type="character" w:styleId="ListLabel22" w:customStyle="1">
    <w:name w:val="ListLabel 22"/>
    <w:qFormat/>
    <w:rPr>
      <w:rFonts w:eastAsia="Arial Narrow"/>
    </w:rPr>
  </w:style>
  <w:style w:type="character" w:styleId="ListLabel23" w:customStyle="1">
    <w:name w:val="ListLabel 23"/>
    <w:qFormat/>
    <w:rPr>
      <w:rFonts w:eastAsia="Arial Narrow"/>
    </w:rPr>
  </w:style>
  <w:style w:type="character" w:styleId="ListLabel24" w:customStyle="1">
    <w:name w:val="ListLabel 24"/>
    <w:qFormat/>
    <w:rPr>
      <w:rFonts w:eastAsia="Arial Narrow"/>
    </w:rPr>
  </w:style>
  <w:style w:type="character" w:styleId="ListLabel25" w:customStyle="1">
    <w:name w:val="ListLabel 25"/>
    <w:qFormat/>
    <w:rPr>
      <w:rFonts w:eastAsia="Arial Narrow"/>
    </w:rPr>
  </w:style>
  <w:style w:type="character" w:styleId="ListLabel26" w:customStyle="1">
    <w:name w:val="ListLabel 26"/>
    <w:qFormat/>
    <w:rPr>
      <w:b w:val="false"/>
    </w:rPr>
  </w:style>
  <w:style w:type="character" w:styleId="ListLabel27" w:customStyle="1">
    <w:name w:val="ListLabel 27"/>
    <w:qFormat/>
    <w:rPr>
      <w:color w:val="auto"/>
      <w:sz w:val="36"/>
      <w:szCs w:val="24"/>
    </w:rPr>
  </w:style>
  <w:style w:type="character" w:styleId="ListLabel28" w:customStyle="1">
    <w:name w:val="ListLabel 28"/>
    <w:qFormat/>
    <w:rPr>
      <w:color w:val="auto"/>
      <w:sz w:val="24"/>
    </w:rPr>
  </w:style>
  <w:style w:type="character" w:styleId="ListLabel29" w:customStyle="1">
    <w:name w:val="ListLabel 29"/>
    <w:qFormat/>
    <w:rPr>
      <w:color w:val="auto"/>
      <w:sz w:val="24"/>
    </w:rPr>
  </w:style>
  <w:style w:type="character" w:styleId="ListLabel30" w:customStyle="1">
    <w:name w:val="ListLabel 30"/>
    <w:qFormat/>
    <w:rPr>
      <w:color w:val="auto"/>
      <w:szCs w:val="20"/>
      <w:u w:val="none"/>
    </w:rPr>
  </w:style>
  <w:style w:type="character" w:styleId="ListLabel31" w:customStyle="1">
    <w:name w:val="ListLabel 31"/>
    <w:qFormat/>
    <w:rPr>
      <w:rFonts w:eastAsia="Times New Roman"/>
      <w:b/>
      <w:color w:val="auto"/>
      <w:szCs w:val="24"/>
      <w:u w:val="none"/>
      <w:lang w:eastAsia="zh-CN"/>
    </w:rPr>
  </w:style>
  <w:style w:type="character" w:styleId="Czeindeksu" w:customStyle="1">
    <w:name w:val="Łącze indeksu"/>
    <w:qFormat/>
    <w:rPr/>
  </w:style>
  <w:style w:type="character" w:styleId="ListLabel32" w:customStyle="1">
    <w:name w:val="ListLabel 32"/>
    <w:qFormat/>
    <w:rPr>
      <w:color w:val="auto"/>
      <w:sz w:val="36"/>
      <w:szCs w:val="24"/>
    </w:rPr>
  </w:style>
  <w:style w:type="character" w:styleId="ListLabel33" w:customStyle="1">
    <w:name w:val="ListLabel 33"/>
    <w:qFormat/>
    <w:rPr>
      <w:color w:val="auto"/>
      <w:szCs w:val="20"/>
      <w:u w:val="none"/>
    </w:rPr>
  </w:style>
  <w:style w:type="character" w:styleId="ListLabel34" w:customStyle="1">
    <w:name w:val="ListLabel 34"/>
    <w:qFormat/>
    <w:rPr>
      <w:rFonts w:eastAsia="Times New Roman"/>
      <w:b/>
      <w:color w:val="CE181E"/>
      <w:szCs w:val="24"/>
      <w:u w:val="none"/>
      <w:lang w:eastAsia="zh-CN"/>
    </w:rPr>
  </w:style>
  <w:style w:type="character" w:styleId="ListLabel35" w:customStyle="1">
    <w:name w:val="ListLabel 35"/>
    <w:qFormat/>
    <w:rPr>
      <w:color w:val="auto"/>
      <w:sz w:val="36"/>
      <w:szCs w:val="24"/>
    </w:rPr>
  </w:style>
  <w:style w:type="character" w:styleId="ListLabel36" w:customStyle="1">
    <w:name w:val="ListLabel 36"/>
    <w:qFormat/>
    <w:rPr>
      <w:color w:val="auto"/>
      <w:szCs w:val="20"/>
      <w:u w:val="none"/>
    </w:rPr>
  </w:style>
  <w:style w:type="character" w:styleId="ListLabel37" w:customStyle="1">
    <w:name w:val="ListLabel 37"/>
    <w:qFormat/>
    <w:rPr>
      <w:rFonts w:eastAsia="Times New Roman"/>
      <w:b/>
      <w:color w:val="CE181E"/>
      <w:szCs w:val="24"/>
      <w:u w:val="none"/>
      <w:lang w:eastAsia="zh-CN"/>
    </w:rPr>
  </w:style>
  <w:style w:type="character" w:styleId="ListLabel38" w:customStyle="1">
    <w:name w:val="ListLabel 38"/>
    <w:qFormat/>
    <w:rPr>
      <w:color w:val="auto"/>
      <w:sz w:val="24"/>
      <w:szCs w:val="24"/>
    </w:rPr>
  </w:style>
  <w:style w:type="character" w:styleId="ListLabel39" w:customStyle="1">
    <w:name w:val="ListLabel 39"/>
    <w:qFormat/>
    <w:rPr>
      <w:color w:val="auto"/>
      <w:szCs w:val="20"/>
      <w:u w:val="none"/>
    </w:rPr>
  </w:style>
  <w:style w:type="character" w:styleId="ListLabel40" w:customStyle="1">
    <w:name w:val="ListLabel 40"/>
    <w:qFormat/>
    <w:rPr>
      <w:rFonts w:eastAsia="Times New Roman"/>
      <w:b/>
      <w:color w:val="000000"/>
      <w:szCs w:val="24"/>
      <w:u w:val="none"/>
      <w:lang w:eastAsia="zh-CN"/>
    </w:rPr>
  </w:style>
  <w:style w:type="character" w:styleId="ListLabel41" w:customStyle="1">
    <w:name w:val="ListLabel 41"/>
    <w:qFormat/>
    <w:rPr>
      <w:color w:val="auto"/>
      <w:sz w:val="24"/>
      <w:szCs w:val="24"/>
    </w:rPr>
  </w:style>
  <w:style w:type="character" w:styleId="ListLabel42" w:customStyle="1">
    <w:name w:val="ListLabel 42"/>
    <w:qFormat/>
    <w:rPr>
      <w:color w:val="auto"/>
      <w:szCs w:val="20"/>
      <w:u w:val="none"/>
    </w:rPr>
  </w:style>
  <w:style w:type="character" w:styleId="ListLabel43" w:customStyle="1">
    <w:name w:val="ListLabel 43"/>
    <w:qFormat/>
    <w:rPr>
      <w:rFonts w:eastAsia="Times New Roman"/>
      <w:b/>
      <w:color w:val="000000"/>
      <w:szCs w:val="24"/>
      <w:u w:val="none"/>
      <w:lang w:eastAsia="zh-CN"/>
    </w:rPr>
  </w:style>
  <w:style w:type="character" w:styleId="ListLabel44" w:customStyle="1">
    <w:name w:val="ListLabel 44"/>
    <w:qFormat/>
    <w:rPr>
      <w:color w:val="auto"/>
      <w:sz w:val="36"/>
      <w:szCs w:val="24"/>
    </w:rPr>
  </w:style>
  <w:style w:type="character" w:styleId="ListLabel45" w:customStyle="1">
    <w:name w:val="ListLabel 45"/>
    <w:qFormat/>
    <w:rPr>
      <w:color w:val="auto"/>
      <w:szCs w:val="20"/>
      <w:u w:val="none"/>
    </w:rPr>
  </w:style>
  <w:style w:type="character" w:styleId="ListLabel46" w:customStyle="1">
    <w:name w:val="ListLabel 46"/>
    <w:qFormat/>
    <w:rPr>
      <w:rFonts w:eastAsia="Times New Roman"/>
      <w:b/>
      <w:color w:val="000000"/>
      <w:szCs w:val="24"/>
      <w:u w:val="none"/>
      <w:lang w:eastAsia="zh-CN"/>
    </w:rPr>
  </w:style>
  <w:style w:type="character" w:styleId="ListLabel47">
    <w:name w:val="ListLabel 47"/>
    <w:qFormat/>
    <w:rPr>
      <w:color w:val="auto"/>
      <w:sz w:val="36"/>
      <w:szCs w:val="24"/>
    </w:rPr>
  </w:style>
  <w:style w:type="character" w:styleId="ListLabel48">
    <w:name w:val="ListLabel 48"/>
    <w:qFormat/>
    <w:rPr>
      <w:color w:val="auto"/>
      <w:szCs w:val="20"/>
      <w:u w:val="none"/>
    </w:rPr>
  </w:style>
  <w:style w:type="character" w:styleId="ListLabel49">
    <w:name w:val="ListLabel 49"/>
    <w:qFormat/>
    <w:rPr>
      <w:rFonts w:eastAsia="Times New Roman"/>
      <w:b/>
      <w:color w:val="000000"/>
      <w:szCs w:val="24"/>
      <w:u w:val="none"/>
      <w:lang w:eastAsia="zh-CN"/>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customStyle="1">
    <w:name w:val="Indeks"/>
    <w:basedOn w:val="Normal"/>
    <w:qFormat/>
    <w:pPr>
      <w:suppressLineNumbers/>
    </w:pPr>
    <w:rPr>
      <w:rFonts w:cs="Arial"/>
    </w:rPr>
  </w:style>
  <w:style w:type="paragraph" w:styleId="Gwka">
    <w:name w:val="Header"/>
    <w:basedOn w:val="Normal"/>
    <w:link w:val="NagwekZnak"/>
    <w:uiPriority w:val="99"/>
    <w:semiHidden/>
    <w:unhideWhenUsed/>
    <w:rsid w:val="00d20b85"/>
    <w:pPr>
      <w:tabs>
        <w:tab w:val="center" w:pos="4536" w:leader="none"/>
        <w:tab w:val="right" w:pos="9072" w:leader="none"/>
      </w:tabs>
    </w:pPr>
    <w:rPr/>
  </w:style>
  <w:style w:type="paragraph" w:styleId="Caption">
    <w:name w:val="caption"/>
    <w:basedOn w:val="Normal"/>
    <w:qFormat/>
    <w:pPr>
      <w:suppressLineNumbers/>
      <w:spacing w:before="120" w:after="120"/>
    </w:pPr>
    <w:rPr>
      <w:rFonts w:cs="Arial"/>
      <w:i/>
      <w:iCs/>
      <w:szCs w:val="24"/>
    </w:rPr>
  </w:style>
  <w:style w:type="paragraph" w:styleId="Default" w:customStyle="1">
    <w:name w:val="Default"/>
    <w:qFormat/>
    <w:rsid w:val="00193a25"/>
    <w:pPr>
      <w:widowControl/>
      <w:bidi w:val="0"/>
      <w:jc w:val="left"/>
    </w:pPr>
    <w:rPr>
      <w:rFonts w:ascii="Tahoma" w:hAnsi="Tahoma" w:eastAsia="Calibri" w:cs="Tahoma"/>
      <w:color w:val="000000"/>
      <w:kern w:val="0"/>
      <w:sz w:val="24"/>
      <w:szCs w:val="24"/>
      <w:lang w:val="pl-PL" w:eastAsia="en-US" w:bidi="ar-SA"/>
    </w:rPr>
  </w:style>
  <w:style w:type="paragraph" w:styleId="ListParagraph">
    <w:name w:val="List Paragraph"/>
    <w:basedOn w:val="Normal"/>
    <w:link w:val="AkapitzlistZnak"/>
    <w:uiPriority w:val="34"/>
    <w:qFormat/>
    <w:rsid w:val="000c3c0e"/>
    <w:pPr>
      <w:spacing w:before="0" w:after="0"/>
      <w:ind w:left="720" w:hanging="227"/>
      <w:contextualSpacing/>
    </w:pPr>
    <w:rPr/>
  </w:style>
  <w:style w:type="paragraph" w:styleId="NoSpacing">
    <w:name w:val="No Spacing"/>
    <w:uiPriority w:val="1"/>
    <w:qFormat/>
    <w:rsid w:val="003c772e"/>
    <w:pPr>
      <w:widowControl/>
      <w:bidi w:val="0"/>
      <w:jc w:val="left"/>
    </w:pPr>
    <w:rPr>
      <w:rFonts w:ascii="Times New Roman" w:hAnsi="Times New Roman" w:eastAsia="Calibri" w:cs="Times New Roman" w:eastAsiaTheme="minorHAnsi"/>
      <w:color w:val="auto"/>
      <w:kern w:val="0"/>
      <w:sz w:val="24"/>
      <w:szCs w:val="22"/>
      <w:lang w:val="pl-PL" w:eastAsia="en-US" w:bidi="ar-SA"/>
    </w:rPr>
  </w:style>
  <w:style w:type="paragraph" w:styleId="Tytu">
    <w:name w:val="Title"/>
    <w:basedOn w:val="Normal"/>
    <w:link w:val="TytuZnak"/>
    <w:uiPriority w:val="10"/>
    <w:qFormat/>
    <w:rsid w:val="003c772e"/>
    <w:pPr>
      <w:pBdr>
        <w:bottom w:val="single" w:sz="8" w:space="4" w:color="4F81BD"/>
      </w:pBdr>
      <w:spacing w:before="0" w:after="300"/>
      <w:contextualSpacing/>
    </w:pPr>
    <w:rPr>
      <w:rFonts w:ascii="Cambria" w:hAnsi="Cambria" w:eastAsia="" w:cs="" w:asciiTheme="majorHAnsi" w:cstheme="majorBidi" w:eastAsiaTheme="majorEastAsia" w:hAnsiTheme="majorHAnsi"/>
      <w:color w:val="17365D" w:themeColor="text2" w:themeShade="bf"/>
      <w:spacing w:val="5"/>
      <w:kern w:val="2"/>
      <w:sz w:val="52"/>
      <w:szCs w:val="52"/>
    </w:rPr>
  </w:style>
  <w:style w:type="paragraph" w:styleId="Podtytu">
    <w:name w:val="Subtitle"/>
    <w:basedOn w:val="Normal"/>
    <w:link w:val="PodtytuZnak"/>
    <w:uiPriority w:val="11"/>
    <w:qFormat/>
    <w:rsid w:val="003c772e"/>
    <w:pPr/>
    <w:rPr>
      <w:rFonts w:ascii="Cambria" w:hAnsi="Cambria" w:eastAsia="" w:cs="" w:asciiTheme="majorHAnsi" w:cstheme="majorBidi" w:eastAsiaTheme="majorEastAsia" w:hAnsiTheme="majorHAnsi"/>
      <w:i/>
      <w:iCs/>
      <w:color w:val="4F81BD" w:themeColor="accent1"/>
      <w:spacing w:val="15"/>
      <w:szCs w:val="24"/>
    </w:rPr>
  </w:style>
  <w:style w:type="paragraph" w:styleId="Artyku" w:customStyle="1">
    <w:name w:val="Artykuł"/>
    <w:basedOn w:val="ListParagraph"/>
    <w:link w:val="ArtykuZnak"/>
    <w:qFormat/>
    <w:rsid w:val="003c772e"/>
    <w:pPr/>
    <w:rPr>
      <w:b/>
    </w:rPr>
  </w:style>
  <w:style w:type="paragraph" w:styleId="Ustp" w:customStyle="1">
    <w:name w:val="Ustęp"/>
    <w:basedOn w:val="ListParagraph"/>
    <w:link w:val="UstpZnak"/>
    <w:qFormat/>
    <w:rsid w:val="003c772e"/>
    <w:pPr>
      <w:widowControl w:val="false"/>
      <w:suppressAutoHyphens w:val="true"/>
      <w:overflowPunct w:val="true"/>
      <w:jc w:val="both"/>
      <w:textAlignment w:val="baseline"/>
    </w:pPr>
    <w:rPr>
      <w:rFonts w:eastAsia="Arial Narrow"/>
      <w:kern w:val="2"/>
      <w:szCs w:val="18"/>
      <w:lang w:eastAsia="pl-PL"/>
    </w:rPr>
  </w:style>
  <w:style w:type="paragraph" w:styleId="Punkt" w:customStyle="1">
    <w:name w:val="Punkt"/>
    <w:basedOn w:val="Normal"/>
    <w:link w:val="PunktZnak"/>
    <w:qFormat/>
    <w:rsid w:val="003c772e"/>
    <w:pPr>
      <w:widowControl w:val="false"/>
      <w:suppressAutoHyphens w:val="true"/>
      <w:overflowPunct w:val="true"/>
      <w:ind w:left="0" w:firstLine="357"/>
      <w:jc w:val="both"/>
      <w:textAlignment w:val="baseline"/>
    </w:pPr>
    <w:rPr>
      <w:rFonts w:eastAsia="Arial Narrow"/>
      <w:kern w:val="2"/>
      <w:szCs w:val="18"/>
      <w:lang w:eastAsia="pl-PL"/>
    </w:rPr>
  </w:style>
  <w:style w:type="paragraph" w:styleId="Podpunkt" w:customStyle="1">
    <w:name w:val="Podpunkt"/>
    <w:basedOn w:val="Normal"/>
    <w:link w:val="PodpunktZnak"/>
    <w:qFormat/>
    <w:rsid w:val="005823b4"/>
    <w:pPr>
      <w:widowControl w:val="false"/>
      <w:suppressAutoHyphens w:val="true"/>
      <w:overflowPunct w:val="true"/>
      <w:ind w:left="158" w:hanging="0"/>
      <w:jc w:val="both"/>
      <w:textAlignment w:val="baseline"/>
    </w:pPr>
    <w:rPr>
      <w:rFonts w:eastAsia="Arial Narrow"/>
      <w:kern w:val="2"/>
      <w:szCs w:val="18"/>
      <w:lang w:eastAsia="pl-PL"/>
    </w:rPr>
  </w:style>
  <w:style w:type="paragraph" w:styleId="Podpodpunkt" w:customStyle="1">
    <w:name w:val="Pod podpunkt"/>
    <w:basedOn w:val="Normal"/>
    <w:link w:val="PodpodpunktZnak"/>
    <w:qFormat/>
    <w:rsid w:val="005823b4"/>
    <w:pPr>
      <w:widowControl w:val="false"/>
      <w:suppressAutoHyphens w:val="true"/>
      <w:overflowPunct w:val="true"/>
      <w:ind w:left="-284" w:firstLine="442"/>
      <w:jc w:val="both"/>
      <w:textAlignment w:val="baseline"/>
    </w:pPr>
    <w:rPr>
      <w:rFonts w:eastAsia="Arial Narrow"/>
      <w:kern w:val="2"/>
      <w:szCs w:val="18"/>
      <w:lang w:eastAsia="pl-PL"/>
    </w:rPr>
  </w:style>
  <w:style w:type="paragraph" w:styleId="Stopka">
    <w:name w:val="Footer"/>
    <w:basedOn w:val="Normal"/>
    <w:link w:val="StopkaZnak"/>
    <w:uiPriority w:val="99"/>
    <w:unhideWhenUsed/>
    <w:rsid w:val="00d20b85"/>
    <w:pPr>
      <w:tabs>
        <w:tab w:val="center" w:pos="4536" w:leader="none"/>
        <w:tab w:val="right" w:pos="9072" w:leader="none"/>
      </w:tabs>
    </w:pPr>
    <w:rPr/>
  </w:style>
  <w:style w:type="paragraph" w:styleId="TOCHeading">
    <w:name w:val="TOC Heading"/>
    <w:basedOn w:val="Nagwek1"/>
    <w:uiPriority w:val="39"/>
    <w:semiHidden/>
    <w:unhideWhenUsed/>
    <w:qFormat/>
    <w:rsid w:val="002c601c"/>
    <w:pPr>
      <w:spacing w:lineRule="auto" w:line="276"/>
      <w:ind w:left="0" w:hanging="0"/>
    </w:pPr>
    <w:rPr>
      <w:rFonts w:ascii="Cambria" w:hAnsi="Cambria" w:asciiTheme="majorHAnsi" w:hAnsiTheme="majorHAnsi"/>
      <w:color w:val="365F91" w:themeColor="accent1" w:themeShade="bf"/>
      <w:sz w:val="28"/>
    </w:rPr>
  </w:style>
  <w:style w:type="paragraph" w:styleId="Spistreci2">
    <w:name w:val="TOC 2"/>
    <w:basedOn w:val="Normal"/>
    <w:autoRedefine/>
    <w:uiPriority w:val="39"/>
    <w:unhideWhenUsed/>
    <w:qFormat/>
    <w:rsid w:val="002c601c"/>
    <w:pPr>
      <w:spacing w:lineRule="auto" w:line="276" w:before="0" w:after="100"/>
      <w:ind w:left="220" w:hanging="0"/>
    </w:pPr>
    <w:rPr>
      <w:rFonts w:ascii="Calibri" w:hAnsi="Calibri" w:eastAsia="" w:cs="" w:asciiTheme="minorHAnsi" w:cstheme="minorBidi" w:eastAsiaTheme="minorEastAsia" w:hAnsiTheme="minorHAnsi"/>
      <w:sz w:val="22"/>
    </w:rPr>
  </w:style>
  <w:style w:type="paragraph" w:styleId="Spistreci1">
    <w:name w:val="TOC 1"/>
    <w:basedOn w:val="Normal"/>
    <w:autoRedefine/>
    <w:uiPriority w:val="39"/>
    <w:unhideWhenUsed/>
    <w:qFormat/>
    <w:rsid w:val="002f3a8e"/>
    <w:pPr>
      <w:tabs>
        <w:tab w:val="left" w:pos="440" w:leader="none"/>
        <w:tab w:val="right" w:pos="10456" w:leader="dot"/>
      </w:tabs>
      <w:spacing w:lineRule="auto" w:line="276" w:before="0" w:after="100"/>
      <w:ind w:left="0" w:hanging="0"/>
    </w:pPr>
    <w:rPr>
      <w:rFonts w:eastAsia="" w:eastAsiaTheme="minorEastAsia"/>
      <w:sz w:val="22"/>
    </w:rPr>
  </w:style>
  <w:style w:type="paragraph" w:styleId="Spistreci3">
    <w:name w:val="TOC 3"/>
    <w:basedOn w:val="Normal"/>
    <w:autoRedefine/>
    <w:uiPriority w:val="39"/>
    <w:semiHidden/>
    <w:unhideWhenUsed/>
    <w:qFormat/>
    <w:rsid w:val="002c601c"/>
    <w:pPr>
      <w:spacing w:lineRule="auto" w:line="276" w:before="0" w:after="100"/>
      <w:ind w:left="440" w:hanging="0"/>
    </w:pPr>
    <w:rPr>
      <w:rFonts w:ascii="Calibri" w:hAnsi="Calibri" w:eastAsia="" w:cs="" w:asciiTheme="minorHAnsi" w:cstheme="minorBidi" w:eastAsiaTheme="minorEastAsia" w:hAnsiTheme="minorHAnsi"/>
      <w:sz w:val="22"/>
    </w:rPr>
  </w:style>
  <w:style w:type="paragraph" w:styleId="BalloonText">
    <w:name w:val="Balloon Text"/>
    <w:basedOn w:val="Normal"/>
    <w:link w:val="TekstdymkaZnak"/>
    <w:uiPriority w:val="99"/>
    <w:semiHidden/>
    <w:unhideWhenUsed/>
    <w:qFormat/>
    <w:rsid w:val="002c601c"/>
    <w:pPr/>
    <w:rPr>
      <w:rFonts w:ascii="Tahoma" w:hAnsi="Tahoma" w:cs="Tahoma"/>
      <w:sz w:val="16"/>
      <w:szCs w:val="16"/>
    </w:rPr>
  </w:style>
  <w:style w:type="paragraph" w:styleId="Annotationtext">
    <w:name w:val="annotation text"/>
    <w:basedOn w:val="Normal"/>
    <w:link w:val="TekstkomentarzaZnak"/>
    <w:uiPriority w:val="99"/>
    <w:semiHidden/>
    <w:unhideWhenUsed/>
    <w:qFormat/>
    <w:rsid w:val="00e3020b"/>
    <w:pPr/>
    <w:rPr>
      <w:sz w:val="20"/>
      <w:szCs w:val="20"/>
    </w:rPr>
  </w:style>
  <w:style w:type="paragraph" w:styleId="Annotationsubject">
    <w:name w:val="annotation subject"/>
    <w:basedOn w:val="Annotationtext"/>
    <w:link w:val="TematkomentarzaZnak"/>
    <w:uiPriority w:val="99"/>
    <w:semiHidden/>
    <w:unhideWhenUsed/>
    <w:qFormat/>
    <w:rsid w:val="00e3020b"/>
    <w:pPr/>
    <w:rPr>
      <w:b/>
      <w:bCs/>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miloslaw.bip.net.pl/" TargetMode="External"/><Relationship Id="rId4" Type="http://schemas.openxmlformats.org/officeDocument/2006/relationships/hyperlink" Target="mailto:przetargi@miloslaw.info.pl"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49B03-414A-45D5-B284-C9676CD6A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2693</TotalTime>
  <Application>LibreOffice/6.0.5.2$Windows_x86 LibreOffice_project/54c8cbb85f300ac59db32fe8a675ff7683cd5a16</Application>
  <Pages>21</Pages>
  <Words>8208</Words>
  <Characters>53238</Characters>
  <CharactersWithSpaces>61430</CharactersWithSpaces>
  <Paragraphs>357</Paragraphs>
  <Company>UG</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2017-10-23T09:49:00Z</dcterms:created>
  <dc:creator>mbachorska</dc:creator>
  <dc:description/>
  <dc:language>pl-PL</dc:language>
  <cp:lastModifiedBy/>
  <cp:lastPrinted>2018-02-28T12:53:00Z</cp:lastPrinted>
  <dcterms:modified xsi:type="dcterms:W3CDTF">2018-08-24T07:31:31Z</dcterms:modified>
  <cp:revision>214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UG</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