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1292" w:firstLine="124"/>
        <w:rPr>
          <w:b/>
          <w:b/>
        </w:rPr>
      </w:pPr>
      <w:r>
        <w:rPr>
          <w:b/>
        </w:rPr>
      </w:r>
    </w:p>
    <w:p>
      <w:pPr>
        <w:pStyle w:val="Normal"/>
        <w:ind w:left="1292" w:firstLine="124"/>
        <w:rPr>
          <w:b/>
          <w:b/>
        </w:rPr>
      </w:pPr>
      <w:r>
        <w:drawing>
          <wp:anchor behindDoc="0" distT="0" distB="0" distL="133350" distR="123190" simplePos="0" locked="0" layoutInCell="1" allowOverlap="1" relativeHeight="2">
            <wp:simplePos x="0" y="0"/>
            <wp:positionH relativeFrom="column">
              <wp:posOffset>168910</wp:posOffset>
            </wp:positionH>
            <wp:positionV relativeFrom="paragraph">
              <wp:posOffset>-54610</wp:posOffset>
            </wp:positionV>
            <wp:extent cx="600710" cy="826770"/>
            <wp:effectExtent l="0" t="0" r="0" b="0"/>
            <wp:wrapNone/>
            <wp:docPr id="1" name="Obraz 0" descr="indek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0" descr="indeks.png"/>
                    <pic:cNvPicPr>
                      <a:picLocks noChangeAspect="1" noChangeArrowheads="1"/>
                    </pic:cNvPicPr>
                  </pic:nvPicPr>
                  <pic:blipFill>
                    <a:blip r:embed="rId2"/>
                    <a:stretch>
                      <a:fillRect/>
                    </a:stretch>
                  </pic:blipFill>
                  <pic:spPr bwMode="auto">
                    <a:xfrm>
                      <a:off x="0" y="0"/>
                      <a:ext cx="600710" cy="826770"/>
                    </a:xfrm>
                    <a:prstGeom prst="rect">
                      <a:avLst/>
                    </a:prstGeom>
                  </pic:spPr>
                </pic:pic>
              </a:graphicData>
            </a:graphic>
          </wp:anchor>
        </w:drawing>
      </w:r>
      <w:r>
        <w:rPr>
          <w:b/>
        </w:rPr>
        <w:t>G</w:t>
      </w:r>
      <w:r>
        <w:rPr>
          <w:b/>
        </w:rPr>
        <w:t>mina Miłosław</w:t>
      </w:r>
    </w:p>
    <w:p>
      <w:pPr>
        <w:pStyle w:val="Normal"/>
        <w:ind w:left="1168" w:firstLine="248"/>
        <w:rPr>
          <w:b/>
          <w:b/>
        </w:rPr>
      </w:pPr>
      <w:r>
        <w:rPr>
          <w:b/>
        </w:rPr>
        <w:t>Ul. Wrzesińska 19</w:t>
      </w:r>
    </w:p>
    <w:p>
      <w:pPr>
        <w:pStyle w:val="Normal"/>
        <w:ind w:left="1044" w:firstLine="372"/>
        <w:rPr>
          <w:b/>
          <w:b/>
        </w:rPr>
      </w:pPr>
      <w:r>
        <w:rPr>
          <w:b/>
        </w:rPr>
        <w:t>62 – 320 Miłosław</w:t>
      </w:r>
    </w:p>
    <w:p>
      <w:pPr>
        <w:pStyle w:val="Normal"/>
        <w:rPr>
          <w:b/>
          <w:b/>
        </w:rPr>
      </w:pPr>
      <w:r>
        <w:rPr>
          <w:b/>
        </w:rPr>
      </w:r>
    </w:p>
    <w:p>
      <w:pPr>
        <w:pStyle w:val="Normal"/>
        <w:rPr>
          <w:b/>
          <w:b/>
        </w:rPr>
      </w:pPr>
      <w:r>
        <w:rPr>
          <w:b/>
        </w:rPr>
      </w:r>
    </w:p>
    <w:p>
      <w:pPr>
        <w:pStyle w:val="Normal"/>
        <w:rPr>
          <w:b/>
          <w:b/>
        </w:rPr>
      </w:pPr>
      <w:r>
        <w:rPr>
          <w:b/>
        </w:rPr>
      </w:r>
    </w:p>
    <w:p>
      <w:pPr>
        <w:pStyle w:val="Normal"/>
        <w:jc w:val="center"/>
        <w:rPr>
          <w:b/>
          <w:b/>
        </w:rPr>
      </w:pPr>
      <w:r>
        <w:rPr>
          <w:b/>
        </w:rPr>
        <w:t>SPECYFIKACJA ISTOTNYCH WARUNKÓW ZAMÓWIENIA</w:t>
      </w:r>
    </w:p>
    <w:p>
      <w:pPr>
        <w:pStyle w:val="Normal"/>
        <w:jc w:val="center"/>
        <w:rPr>
          <w:b/>
          <w:b/>
        </w:rPr>
      </w:pPr>
      <w:r>
        <w:rPr>
          <w:b/>
        </w:rPr>
        <w:t>(SIWZ)</w:t>
      </w:r>
    </w:p>
    <w:p>
      <w:pPr>
        <w:pStyle w:val="Normal"/>
        <w:jc w:val="center"/>
        <w:rPr/>
      </w:pPr>
      <w:r>
        <w:rPr>
          <w:b/>
        </w:rPr>
        <w:t>nr sprawy</w:t>
      </w:r>
      <w:r>
        <w:rPr>
          <w:b/>
          <w:color w:val="000000"/>
        </w:rPr>
        <w:t>:</w:t>
      </w:r>
      <w:r>
        <w:rPr>
          <w:b/>
          <w:color w:val="000000"/>
        </w:rPr>
        <w:t xml:space="preserve"> IŚR.271.ZP.4.2018</w:t>
      </w:r>
    </w:p>
    <w:p>
      <w:pPr>
        <w:pStyle w:val="Normal"/>
        <w:jc w:val="center"/>
        <w:rPr>
          <w:b/>
          <w:b/>
          <w:color w:val="000000"/>
        </w:rPr>
      </w:pPr>
      <w:r>
        <w:rPr>
          <w:b/>
          <w:color w:val="000000"/>
        </w:rPr>
      </w:r>
    </w:p>
    <w:p>
      <w:pPr>
        <w:pStyle w:val="Normal"/>
        <w:jc w:val="center"/>
        <w:rPr>
          <w:b/>
          <w:b/>
          <w:color w:val="000000"/>
        </w:rPr>
      </w:pPr>
      <w:r>
        <w:rPr>
          <w:b/>
          <w:color w:val="000000"/>
        </w:rPr>
      </w:r>
    </w:p>
    <w:p>
      <w:pPr>
        <w:pStyle w:val="Normal"/>
        <w:jc w:val="center"/>
        <w:rPr>
          <w:color w:val="000000"/>
        </w:rPr>
      </w:pPr>
      <w:r>
        <w:rPr>
          <w:b/>
          <w:color w:val="000000"/>
        </w:rPr>
        <w:t>w postępowaniu o udzielenie zamówienia publicznego</w:t>
        <w:br/>
        <w:t xml:space="preserve">prowadzonym w trybie </w:t>
      </w:r>
      <w:r>
        <w:rPr>
          <w:b/>
          <w:color w:val="000000"/>
          <w:u w:val="single"/>
        </w:rPr>
        <w:t>przetargu nieograniczonego</w:t>
      </w:r>
      <w:r>
        <w:rPr>
          <w:b/>
          <w:color w:val="000000"/>
        </w:rPr>
        <w:t>,</w:t>
        <w:br/>
      </w:r>
      <w:r>
        <w:rPr>
          <w:color w:val="000000"/>
        </w:rPr>
        <w:t>którego wartość szacunkowa nie przekracza kwot określonych w przepisach</w:t>
        <w:br/>
        <w:t>wydanych na podstawie art.11 ust. 8 Prawo zamówień publicznych dla zadania pn.:</w:t>
      </w:r>
    </w:p>
    <w:p>
      <w:pPr>
        <w:pStyle w:val="Normal"/>
        <w:jc w:val="center"/>
        <w:rPr>
          <w:color w:val="000000"/>
        </w:rPr>
      </w:pPr>
      <w:r>
        <w:rPr>
          <w:color w:val="000000"/>
        </w:rPr>
      </w:r>
    </w:p>
    <w:p>
      <w:pPr>
        <w:pStyle w:val="Normal"/>
        <w:jc w:val="center"/>
        <w:rPr>
          <w:color w:val="000000"/>
        </w:rPr>
      </w:pPr>
      <w:r>
        <w:rPr>
          <w:color w:val="000000"/>
        </w:rPr>
      </w:r>
    </w:p>
    <w:p>
      <w:pPr>
        <w:pStyle w:val="Normal"/>
        <w:jc w:val="center"/>
        <w:rPr>
          <w:color w:val="000000"/>
        </w:rPr>
      </w:pPr>
      <w:r>
        <w:rPr>
          <w:color w:val="000000"/>
        </w:rPr>
      </w:r>
    </w:p>
    <w:p>
      <w:pPr>
        <w:pStyle w:val="Normal"/>
        <w:spacing w:lineRule="auto" w:line="252"/>
        <w:ind w:left="0" w:hanging="0"/>
        <w:jc w:val="center"/>
        <w:rPr>
          <w:color w:val="000000"/>
        </w:rPr>
      </w:pPr>
      <w:r>
        <w:rPr>
          <w:b/>
          <w:bCs/>
          <w:color w:val="000000"/>
          <w:sz w:val="28"/>
          <w:szCs w:val="28"/>
        </w:rPr>
        <w:t xml:space="preserve">Przebudowa ul. Wierzbowej, Leszczynowej i Kasztanowej </w:t>
        <w:br/>
        <w:t>w Orzechowie – Etap I</w:t>
      </w:r>
      <w:r>
        <w:rPr>
          <w:rFonts w:eastAsia="Calibri"/>
          <w:b/>
          <w:bCs/>
          <w:color w:val="000000"/>
          <w:sz w:val="18"/>
          <w:szCs w:val="18"/>
        </w:rPr>
        <w:br/>
      </w:r>
    </w:p>
    <w:p>
      <w:pPr>
        <w:pStyle w:val="Normal"/>
        <w:ind w:left="0" w:hanging="0"/>
        <w:jc w:val="center"/>
        <w:rPr>
          <w:rFonts w:eastAsia="Calibri"/>
          <w:b/>
          <w:b/>
          <w:color w:val="000000"/>
          <w:sz w:val="18"/>
          <w:szCs w:val="18"/>
        </w:rPr>
      </w:pPr>
      <w:r>
        <w:rPr>
          <w:rFonts w:eastAsia="Calibri"/>
          <w:b/>
          <w:color w:val="000000"/>
          <w:sz w:val="18"/>
          <w:szCs w:val="18"/>
        </w:rPr>
      </w:r>
    </w:p>
    <w:p>
      <w:pPr>
        <w:pStyle w:val="Normal"/>
        <w:ind w:left="0" w:hanging="0"/>
        <w:jc w:val="center"/>
        <w:rPr>
          <w:b/>
          <w:b/>
          <w:bCs/>
          <w:sz w:val="18"/>
          <w:szCs w:val="18"/>
        </w:rPr>
      </w:pPr>
      <w:r>
        <w:rPr>
          <w:rFonts w:eastAsia="Calibri"/>
          <w:b/>
          <w:color w:val="000000"/>
          <w:sz w:val="18"/>
          <w:szCs w:val="18"/>
        </w:rPr>
        <w:t>Wspólny Słownik Zamówień, nazwa i kod CPV:</w:t>
        <w:br/>
      </w:r>
    </w:p>
    <w:p>
      <w:pPr>
        <w:pStyle w:val="Normal"/>
        <w:ind w:left="0" w:hanging="0"/>
        <w:jc w:val="center"/>
        <w:rPr>
          <w:color w:val="000000"/>
        </w:rPr>
      </w:pPr>
      <w:r>
        <w:rPr>
          <w:b/>
          <w:bCs/>
          <w:color w:val="000000"/>
          <w:sz w:val="18"/>
          <w:szCs w:val="18"/>
        </w:rPr>
        <w:t xml:space="preserve">45.23.31.20-6 </w:t>
      </w:r>
      <w:r>
        <w:rPr>
          <w:color w:val="000000"/>
          <w:sz w:val="18"/>
          <w:szCs w:val="18"/>
        </w:rPr>
        <w:t>Roboty w zakresie budowy dróg</w:t>
      </w:r>
      <w:r>
        <w:rPr>
          <w:color w:val="000000"/>
          <w:sz w:val="20"/>
          <w:szCs w:val="20"/>
        </w:rPr>
        <w:t xml:space="preserve"> </w:t>
      </w:r>
    </w:p>
    <w:p>
      <w:pPr>
        <w:pStyle w:val="Normal"/>
        <w:ind w:left="0" w:hanging="0"/>
        <w:jc w:val="center"/>
        <w:rPr>
          <w:color w:val="000000"/>
          <w:sz w:val="18"/>
          <w:szCs w:val="18"/>
        </w:rPr>
      </w:pPr>
      <w:r>
        <w:rPr>
          <w:color w:val="000000"/>
          <w:sz w:val="18"/>
          <w:szCs w:val="18"/>
        </w:rPr>
      </w:r>
    </w:p>
    <w:p>
      <w:pPr>
        <w:pStyle w:val="Normal"/>
        <w:jc w:val="center"/>
        <w:rPr>
          <w:b/>
          <w:b/>
          <w:color w:val="000000"/>
        </w:rPr>
      </w:pPr>
      <w:r>
        <w:rPr>
          <w:b/>
          <w:color w:val="000000"/>
        </w:rPr>
      </w:r>
    </w:p>
    <w:p>
      <w:pPr>
        <w:pStyle w:val="Default"/>
        <w:rPr>
          <w:color w:val="000000"/>
        </w:rPr>
      </w:pPr>
      <w:r>
        <w:rPr>
          <w:color w:val="000000"/>
        </w:rPr>
      </w:r>
    </w:p>
    <w:p>
      <w:pPr>
        <w:pStyle w:val="Default"/>
        <w:rPr>
          <w:color w:val="000000"/>
        </w:rPr>
      </w:pPr>
      <w:r>
        <w:rPr>
          <w:color w:val="000000"/>
        </w:rPr>
      </w:r>
    </w:p>
    <w:p>
      <w:pPr>
        <w:pStyle w:val="Default"/>
        <w:rPr>
          <w:color w:val="000000"/>
        </w:rPr>
      </w:pPr>
      <w:r>
        <w:rPr>
          <w:color w:val="000000"/>
        </w:rPr>
      </w:r>
    </w:p>
    <w:p>
      <w:pPr>
        <w:pStyle w:val="Default"/>
        <w:rPr>
          <w:color w:val="000000"/>
        </w:rPr>
      </w:pPr>
      <w:r>
        <w:rPr>
          <w:color w:val="000000"/>
        </w:rPr>
      </w:r>
    </w:p>
    <w:p>
      <w:pPr>
        <w:pStyle w:val="Default"/>
        <w:rPr>
          <w:color w:val="000000"/>
        </w:rPr>
      </w:pPr>
      <w:r>
        <w:rPr>
          <w:color w:val="000000"/>
        </w:rPr>
      </w:r>
    </w:p>
    <w:p>
      <w:pPr>
        <w:pStyle w:val="Default"/>
        <w:jc w:val="right"/>
        <w:rPr>
          <w:rFonts w:ascii="Times New Roman" w:hAnsi="Times New Roman" w:cs="Times New Roman"/>
          <w:color w:val="000000"/>
        </w:rPr>
      </w:pPr>
      <w:r>
        <w:rPr>
          <w:rFonts w:cs="Times New Roman" w:ascii="Times New Roman" w:hAnsi="Times New Roman"/>
          <w:color w:val="000000"/>
        </w:rPr>
      </w:r>
    </w:p>
    <w:p>
      <w:pPr>
        <w:pStyle w:val="Default"/>
        <w:jc w:val="right"/>
        <w:rPr>
          <w:color w:val="000000"/>
        </w:rPr>
      </w:pPr>
      <w:r>
        <w:rPr>
          <w:rFonts w:cs="Times New Roman" w:ascii="Times New Roman" w:hAnsi="Times New Roman"/>
          <w:color w:val="000000"/>
        </w:rPr>
        <w:t xml:space="preserve">Zatwierdzam, </w:t>
      </w:r>
      <w:r>
        <w:rPr>
          <w:rFonts w:cs="Times New Roman" w:ascii="Times New Roman" w:hAnsi="Times New Roman"/>
          <w:color w:val="000000"/>
        </w:rPr>
        <w:t xml:space="preserve">dn. </w:t>
      </w:r>
      <w:r>
        <w:rPr>
          <w:rFonts w:cs="Times New Roman" w:ascii="Times New Roman" w:hAnsi="Times New Roman"/>
          <w:color w:val="000000"/>
        </w:rPr>
        <w:t xml:space="preserve">6 lipca </w:t>
      </w:r>
      <w:r>
        <w:rPr>
          <w:rFonts w:cs="Times New Roman" w:ascii="Times New Roman" w:hAnsi="Times New Roman"/>
          <w:color w:val="000000"/>
        </w:rPr>
        <w:t>2018r.</w:t>
      </w:r>
    </w:p>
    <w:p>
      <w:pPr>
        <w:pStyle w:val="Default"/>
        <w:jc w:val="right"/>
        <w:rPr>
          <w:rFonts w:ascii="Times New Roman" w:hAnsi="Times New Roman" w:cs="Times New Roman"/>
          <w:color w:val="000000"/>
        </w:rPr>
      </w:pPr>
      <w:r>
        <w:rPr>
          <w:rFonts w:cs="Times New Roman" w:ascii="Times New Roman" w:hAnsi="Times New Roman"/>
          <w:color w:val="000000"/>
        </w:rPr>
      </w:r>
    </w:p>
    <w:p>
      <w:pPr>
        <w:pStyle w:val="Default"/>
        <w:rPr>
          <w:color w:val="000000"/>
          <w:sz w:val="23"/>
          <w:szCs w:val="23"/>
        </w:rPr>
      </w:pPr>
      <w:r>
        <w:rPr>
          <w:color w:val="000000"/>
          <w:sz w:val="23"/>
          <w:szCs w:val="23"/>
        </w:rPr>
      </w:r>
    </w:p>
    <w:p>
      <w:pPr>
        <w:pStyle w:val="Default"/>
        <w:rPr>
          <w:sz w:val="23"/>
          <w:szCs w:val="23"/>
        </w:rPr>
      </w:pPr>
      <w:r>
        <w:rPr>
          <w:sz w:val="23"/>
          <w:szCs w:val="23"/>
        </w:rPr>
      </w:r>
    </w:p>
    <w:p>
      <w:pPr>
        <w:pStyle w:val="Default"/>
        <w:rPr>
          <w:sz w:val="23"/>
          <w:szCs w:val="23"/>
        </w:rPr>
      </w:pPr>
      <w:r>
        <w:rPr>
          <w:sz w:val="23"/>
          <w:szCs w:val="23"/>
        </w:rPr>
      </w:r>
    </w:p>
    <w:p>
      <w:pPr>
        <w:pStyle w:val="Default"/>
        <w:rPr>
          <w:sz w:val="23"/>
          <w:szCs w:val="23"/>
        </w:rPr>
      </w:pPr>
      <w:r>
        <w:rPr>
          <w:sz w:val="23"/>
          <w:szCs w:val="23"/>
        </w:rPr>
      </w:r>
    </w:p>
    <w:p>
      <w:pPr>
        <w:pStyle w:val="Default"/>
        <w:rPr>
          <w:sz w:val="23"/>
          <w:szCs w:val="23"/>
        </w:rPr>
      </w:pPr>
      <w:r>
        <w:rPr>
          <w:sz w:val="23"/>
          <w:szCs w:val="23"/>
        </w:rPr>
      </w:r>
    </w:p>
    <w:p>
      <w:pPr>
        <w:pStyle w:val="Default"/>
        <w:jc w:val="center"/>
        <w:rPr>
          <w:rFonts w:ascii="Times New Roman" w:hAnsi="Times New Roman" w:cs="Times New Roman"/>
          <w:sz w:val="23"/>
          <w:szCs w:val="23"/>
        </w:rPr>
      </w:pPr>
      <w:r>
        <w:rPr>
          <w:sz w:val="23"/>
          <w:szCs w:val="23"/>
        </w:rPr>
        <w:br/>
        <w:br/>
        <w:br/>
        <w:br/>
        <w:br/>
        <w:br/>
      </w:r>
      <w:r>
        <w:rPr>
          <w:rFonts w:cs="Times New Roman" w:ascii="Times New Roman" w:hAnsi="Times New Roman"/>
          <w:sz w:val="23"/>
          <w:szCs w:val="23"/>
        </w:rPr>
        <w:t>Postępowanie prowadzone w trybie przetargu nieograniczonego</w:t>
      </w:r>
    </w:p>
    <w:p>
      <w:pPr>
        <w:pStyle w:val="Default"/>
        <w:jc w:val="center"/>
        <w:rPr>
          <w:rFonts w:ascii="Times New Roman" w:hAnsi="Times New Roman" w:cs="Times New Roman"/>
          <w:sz w:val="23"/>
          <w:szCs w:val="23"/>
        </w:rPr>
      </w:pPr>
      <w:r>
        <w:rPr>
          <w:rFonts w:cs="Times New Roman" w:ascii="Times New Roman" w:hAnsi="Times New Roman"/>
          <w:sz w:val="23"/>
          <w:szCs w:val="23"/>
        </w:rPr>
        <w:t>na podstawie ustawy z dnia 29 stycznia 2004r. Prawo zamówień publicznych</w:t>
      </w:r>
    </w:p>
    <w:p>
      <w:pPr>
        <w:pStyle w:val="Default"/>
        <w:jc w:val="center"/>
        <w:rPr>
          <w:rFonts w:ascii="Times New Roman" w:hAnsi="Times New Roman" w:cs="Times New Roman"/>
          <w:sz w:val="23"/>
          <w:szCs w:val="23"/>
        </w:rPr>
      </w:pPr>
      <w:r>
        <w:rPr>
          <w:rFonts w:cs="Times New Roman" w:ascii="Times New Roman" w:hAnsi="Times New Roman"/>
          <w:sz w:val="23"/>
          <w:szCs w:val="23"/>
        </w:rPr>
        <w:t>(Dz. U. z 2017r. poz. 1579)</w:t>
      </w:r>
    </w:p>
    <w:p>
      <w:pPr>
        <w:pStyle w:val="Normal"/>
        <w:jc w:val="center"/>
        <w:rPr>
          <w:sz w:val="20"/>
          <w:szCs w:val="20"/>
        </w:rPr>
      </w:pPr>
      <w:r>
        <w:rPr>
          <w:sz w:val="20"/>
          <w:szCs w:val="20"/>
        </w:rPr>
      </w:r>
    </w:p>
    <w:p>
      <w:pPr>
        <w:pStyle w:val="Normal"/>
        <w:jc w:val="center"/>
        <w:rPr>
          <w:sz w:val="20"/>
          <w:szCs w:val="20"/>
        </w:rPr>
      </w:pPr>
      <w:r>
        <w:rPr>
          <w:sz w:val="20"/>
          <w:szCs w:val="20"/>
        </w:rPr>
      </w:r>
    </w:p>
    <w:p>
      <w:pPr>
        <w:pStyle w:val="Normal"/>
        <w:jc w:val="center"/>
        <w:rPr>
          <w:sz w:val="18"/>
          <w:szCs w:val="20"/>
        </w:rPr>
      </w:pPr>
      <w:r>
        <w:rPr>
          <w:sz w:val="18"/>
          <w:szCs w:val="20"/>
        </w:rPr>
        <w:t xml:space="preserve">Zamawiający oczekuje, że Wykonawcy zapoznają się dokładnie z treścią niniejszej SIWZ. </w:t>
      </w:r>
    </w:p>
    <w:p>
      <w:pPr>
        <w:pStyle w:val="Normal"/>
        <w:jc w:val="center"/>
        <w:rPr>
          <w:sz w:val="18"/>
          <w:szCs w:val="20"/>
        </w:rPr>
      </w:pPr>
      <w:r>
        <w:rPr>
          <w:sz w:val="18"/>
          <w:szCs w:val="20"/>
        </w:rPr>
        <w:t>Wykonawca ponosi ryzyko niedostarczenia wszystkich wymaganych informacji i dokumentów</w:t>
      </w:r>
    </w:p>
    <w:p>
      <w:pPr>
        <w:pStyle w:val="Normal"/>
        <w:jc w:val="center"/>
        <w:rPr>
          <w:sz w:val="18"/>
          <w:szCs w:val="20"/>
        </w:rPr>
      </w:pPr>
      <w:r>
        <w:rPr>
          <w:sz w:val="18"/>
          <w:szCs w:val="20"/>
        </w:rPr>
        <w:t xml:space="preserve"> </w:t>
      </w:r>
      <w:r>
        <w:rPr>
          <w:sz w:val="18"/>
          <w:szCs w:val="20"/>
        </w:rPr>
        <w:t>oraz przedłożenia oferty nie odpowiadającej wymaganiom określonym przez Zamawiającego.</w:t>
      </w:r>
    </w:p>
    <w:p>
      <w:pPr>
        <w:pStyle w:val="Normal"/>
        <w:jc w:val="center"/>
        <w:rPr>
          <w:sz w:val="18"/>
          <w:szCs w:val="20"/>
        </w:rPr>
      </w:pPr>
      <w:r>
        <w:rPr>
          <w:sz w:val="18"/>
          <w:szCs w:val="20"/>
        </w:rPr>
      </w:r>
    </w:p>
    <w:p>
      <w:pPr>
        <w:pStyle w:val="Normal"/>
        <w:jc w:val="center"/>
        <w:rPr>
          <w:b/>
          <w:b/>
          <w:szCs w:val="20"/>
        </w:rPr>
      </w:pPr>
      <w:r>
        <w:rPr>
          <w:b/>
          <w:szCs w:val="20"/>
        </w:rPr>
      </w:r>
    </w:p>
    <w:p>
      <w:pPr>
        <w:pStyle w:val="Normal"/>
        <w:jc w:val="center"/>
        <w:rPr>
          <w:b/>
          <w:b/>
          <w:szCs w:val="20"/>
        </w:rPr>
      </w:pPr>
      <w:r>
        <w:rPr>
          <w:b/>
          <w:szCs w:val="20"/>
        </w:rPr>
        <w:t xml:space="preserve">Spis treści </w:t>
      </w:r>
    </w:p>
    <w:p>
      <w:pPr>
        <w:pStyle w:val="Normal"/>
        <w:jc w:val="center"/>
        <w:rPr/>
      </w:pPr>
      <w:r>
        <w:rPr/>
      </w:r>
    </w:p>
    <w:p>
      <w:pPr>
        <w:pStyle w:val="Spistreci1"/>
        <w:rPr>
          <w:rFonts w:ascii="Calibri" w:hAnsi="Calibri" w:cs="" w:asciiTheme="minorHAnsi" w:cstheme="minorBidi" w:hAnsiTheme="minorHAnsi"/>
          <w:lang w:eastAsia="pl-PL"/>
        </w:rPr>
      </w:pPr>
      <w:r>
        <w:fldChar w:fldCharType="begin"/>
      </w:r>
      <w:r>
        <w:rPr>
          <w:webHidden/>
          <w:rStyle w:val="Czeindeksu"/>
          <w:vanish w:val="false"/>
        </w:rPr>
        <w:instrText> TOC \z \o "1-9" \h</w:instrText>
      </w:r>
      <w:r>
        <w:rPr>
          <w:webHidden/>
          <w:rStyle w:val="Czeindeksu"/>
          <w:vanish w:val="false"/>
        </w:rPr>
        <w:fldChar w:fldCharType="separate"/>
      </w:r>
      <w:hyperlink w:anchor="_Toc496698263">
        <w:r>
          <w:rPr>
            <w:webHidden/>
          </w:rPr>
          <w:fldChar w:fldCharType="begin"/>
        </w:r>
        <w:r>
          <w:rPr>
            <w:webHidden/>
          </w:rPr>
          <w:instrText>PAGEREF _Toc496698263 \h</w:instrText>
        </w:r>
        <w:r>
          <w:rPr>
            <w:webHidden/>
          </w:rPr>
          <w:fldChar w:fldCharType="separate"/>
        </w:r>
        <w:r>
          <w:rPr>
            <w:webHidden/>
            <w:rStyle w:val="Czeindeksu"/>
            <w:vanish w:val="false"/>
          </w:rPr>
          <w:t>I.Nazwa i adres zamawiającego</w:t>
          <w:tab/>
          <w:t>3</w:t>
        </w:r>
        <w:r>
          <w:rPr>
            <w:webHidden/>
          </w:rPr>
          <w:fldChar w:fldCharType="end"/>
        </w:r>
      </w:hyperlink>
    </w:p>
    <w:p>
      <w:pPr>
        <w:pStyle w:val="Spistreci1"/>
        <w:rPr>
          <w:rFonts w:ascii="Calibri" w:hAnsi="Calibri" w:cs="" w:asciiTheme="minorHAnsi" w:cstheme="minorBidi" w:hAnsiTheme="minorHAnsi"/>
          <w:lang w:eastAsia="pl-PL"/>
        </w:rPr>
      </w:pPr>
      <w:hyperlink w:anchor="_Toc496698264">
        <w:r>
          <w:rPr>
            <w:webHidden/>
          </w:rPr>
          <w:fldChar w:fldCharType="begin"/>
        </w:r>
        <w:r>
          <w:rPr>
            <w:webHidden/>
          </w:rPr>
          <w:instrText>PAGEREF _Toc496698264 \h</w:instrText>
        </w:r>
        <w:r>
          <w:rPr>
            <w:webHidden/>
          </w:rPr>
          <w:fldChar w:fldCharType="separate"/>
        </w:r>
        <w:r>
          <w:rPr>
            <w:webHidden/>
            <w:rStyle w:val="Czeindeksu"/>
            <w:vanish w:val="false"/>
          </w:rPr>
          <w:t>II.Określenie trybu zamówienia</w:t>
          <w:tab/>
          <w:t>3</w:t>
        </w:r>
        <w:r>
          <w:rPr>
            <w:webHidden/>
          </w:rPr>
          <w:fldChar w:fldCharType="end"/>
        </w:r>
      </w:hyperlink>
    </w:p>
    <w:p>
      <w:pPr>
        <w:pStyle w:val="Spistreci1"/>
        <w:rPr>
          <w:rFonts w:ascii="Calibri" w:hAnsi="Calibri" w:cs="" w:asciiTheme="minorHAnsi" w:cstheme="minorBidi" w:hAnsiTheme="minorHAnsi"/>
          <w:lang w:eastAsia="pl-PL"/>
        </w:rPr>
      </w:pPr>
      <w:hyperlink w:anchor="_Toc496698265">
        <w:r>
          <w:rPr>
            <w:webHidden/>
          </w:rPr>
          <w:fldChar w:fldCharType="begin"/>
        </w:r>
        <w:r>
          <w:rPr>
            <w:webHidden/>
          </w:rPr>
          <w:instrText>PAGEREF _Toc496698265 \h</w:instrText>
        </w:r>
        <w:r>
          <w:rPr>
            <w:webHidden/>
          </w:rPr>
          <w:fldChar w:fldCharType="separate"/>
        </w:r>
        <w:r>
          <w:rPr>
            <w:webHidden/>
            <w:rStyle w:val="Czeindeksu"/>
            <w:vanish w:val="false"/>
          </w:rPr>
          <w:t>III.Opis przedmiotu zamówienia</w:t>
          <w:tab/>
          <w:t>3</w:t>
        </w:r>
        <w:r>
          <w:rPr>
            <w:webHidden/>
          </w:rPr>
          <w:fldChar w:fldCharType="end"/>
        </w:r>
      </w:hyperlink>
    </w:p>
    <w:p>
      <w:pPr>
        <w:pStyle w:val="Spistreci1"/>
        <w:rPr>
          <w:rFonts w:ascii="Calibri" w:hAnsi="Calibri" w:cs="" w:asciiTheme="minorHAnsi" w:cstheme="minorBidi" w:hAnsiTheme="minorHAnsi"/>
          <w:lang w:eastAsia="pl-PL"/>
        </w:rPr>
      </w:pPr>
      <w:hyperlink w:anchor="_Toc496698266">
        <w:r>
          <w:rPr>
            <w:webHidden/>
          </w:rPr>
          <w:fldChar w:fldCharType="begin"/>
        </w:r>
        <w:r>
          <w:rPr>
            <w:webHidden/>
          </w:rPr>
          <w:instrText>PAGEREF _Toc496698266 \h</w:instrText>
        </w:r>
        <w:r>
          <w:rPr>
            <w:webHidden/>
          </w:rPr>
          <w:fldChar w:fldCharType="separate"/>
        </w:r>
        <w:r>
          <w:rPr>
            <w:webHidden/>
            <w:rStyle w:val="Czeindeksu"/>
            <w:vanish w:val="false"/>
          </w:rPr>
          <w:t>IV.Termin wykonania zamówienia</w:t>
          <w:tab/>
          <w:t>5</w:t>
        </w:r>
        <w:r>
          <w:rPr>
            <w:webHidden/>
          </w:rPr>
          <w:fldChar w:fldCharType="end"/>
        </w:r>
      </w:hyperlink>
    </w:p>
    <w:p>
      <w:pPr>
        <w:pStyle w:val="Spistreci1"/>
        <w:rPr>
          <w:rFonts w:ascii="Calibri" w:hAnsi="Calibri" w:cs="" w:asciiTheme="minorHAnsi" w:cstheme="minorBidi" w:hAnsiTheme="minorHAnsi"/>
          <w:lang w:eastAsia="pl-PL"/>
        </w:rPr>
      </w:pPr>
      <w:hyperlink w:anchor="_Toc496698267">
        <w:r>
          <w:rPr>
            <w:webHidden/>
          </w:rPr>
          <w:fldChar w:fldCharType="begin"/>
        </w:r>
        <w:r>
          <w:rPr>
            <w:webHidden/>
          </w:rPr>
          <w:instrText>PAGEREF _Toc496698267 \h</w:instrText>
        </w:r>
        <w:r>
          <w:rPr>
            <w:webHidden/>
          </w:rPr>
          <w:fldChar w:fldCharType="separate"/>
        </w:r>
        <w:r>
          <w:rPr>
            <w:webHidden/>
            <w:rStyle w:val="Czeindeksu"/>
            <w:vanish w:val="false"/>
          </w:rPr>
          <w:t>V.Warunki udziału w postępowaniu</w:t>
          <w:tab/>
          <w:t>6</w:t>
        </w:r>
        <w:r>
          <w:rPr>
            <w:webHidden/>
          </w:rPr>
          <w:fldChar w:fldCharType="end"/>
        </w:r>
      </w:hyperlink>
    </w:p>
    <w:p>
      <w:pPr>
        <w:pStyle w:val="Spistreci1"/>
        <w:rPr>
          <w:rFonts w:ascii="Calibri" w:hAnsi="Calibri" w:cs="" w:asciiTheme="minorHAnsi" w:cstheme="minorBidi" w:hAnsiTheme="minorHAnsi"/>
          <w:lang w:eastAsia="pl-PL"/>
        </w:rPr>
      </w:pPr>
      <w:hyperlink w:anchor="_Toc496698268">
        <w:r>
          <w:rPr>
            <w:webHidden/>
            <w:rStyle w:val="Czeindeksu"/>
            <w:vanish w:val="false"/>
            <w:kern w:val="2"/>
            <w:lang w:eastAsia="pl-PL"/>
          </w:rPr>
          <w:t>Va.Podstawy wykluczenia</w:t>
        </w:r>
        <w:r>
          <w:rPr>
            <w:webHidden/>
          </w:rPr>
          <w:fldChar w:fldCharType="begin"/>
        </w:r>
        <w:r>
          <w:rPr>
            <w:webHidden/>
          </w:rPr>
          <w:instrText>PAGEREF _Toc496698268 \h</w:instrText>
        </w:r>
        <w:r>
          <w:rPr>
            <w:webHidden/>
          </w:rPr>
          <w:fldChar w:fldCharType="separate"/>
        </w:r>
        <w:r>
          <w:rPr>
            <w:rStyle w:val="Czeindeksu"/>
          </w:rPr>
          <w:tab/>
          <w:t>7</w:t>
        </w:r>
        <w:r>
          <w:rPr>
            <w:webHidden/>
          </w:rPr>
          <w:fldChar w:fldCharType="end"/>
        </w:r>
      </w:hyperlink>
    </w:p>
    <w:p>
      <w:pPr>
        <w:pStyle w:val="Spistreci1"/>
        <w:rPr>
          <w:rFonts w:ascii="Calibri" w:hAnsi="Calibri" w:cs="" w:asciiTheme="minorHAnsi" w:cstheme="minorBidi" w:hAnsiTheme="minorHAnsi"/>
          <w:lang w:eastAsia="pl-PL"/>
        </w:rPr>
      </w:pPr>
      <w:hyperlink w:anchor="_Toc496698269">
        <w:r>
          <w:rPr>
            <w:webHidden/>
          </w:rPr>
          <w:fldChar w:fldCharType="begin"/>
        </w:r>
        <w:r>
          <w:rPr>
            <w:webHidden/>
          </w:rPr>
          <w:instrText>PAGEREF _Toc496698269 \h</w:instrText>
        </w:r>
        <w:r>
          <w:rPr>
            <w:webHidden/>
          </w:rPr>
          <w:fldChar w:fldCharType="separate"/>
        </w:r>
        <w:r>
          <w:rPr>
            <w:webHidden/>
            <w:rStyle w:val="Czeindeksu"/>
            <w:vanish w:val="false"/>
          </w:rPr>
          <w:t>VI.Wykaz dokumentów i oświadczeń, potwierdzających spełnianie warunków udziału  w postępowaniu oraz brak podstaw wykluczenia</w:t>
          <w:tab/>
          <w:t>7</w:t>
        </w:r>
        <w:r>
          <w:rPr>
            <w:webHidden/>
          </w:rPr>
          <w:fldChar w:fldCharType="end"/>
        </w:r>
      </w:hyperlink>
    </w:p>
    <w:p>
      <w:pPr>
        <w:pStyle w:val="Spistreci1"/>
        <w:rPr>
          <w:rFonts w:ascii="Calibri" w:hAnsi="Calibri" w:cs="" w:asciiTheme="minorHAnsi" w:cstheme="minorBidi" w:hAnsiTheme="minorHAnsi"/>
          <w:lang w:eastAsia="pl-PL"/>
        </w:rPr>
      </w:pPr>
      <w:hyperlink w:anchor="_Toc496698270">
        <w:r>
          <w:rPr>
            <w:webHidden/>
          </w:rPr>
          <w:fldChar w:fldCharType="begin"/>
        </w:r>
        <w:r>
          <w:rPr>
            <w:webHidden/>
          </w:rPr>
          <w:instrText>PAGEREF _Toc496698270 \h</w:instrText>
        </w:r>
        <w:r>
          <w:rPr>
            <w:webHidden/>
          </w:rPr>
          <w:fldChar w:fldCharType="separate"/>
        </w:r>
        <w:r>
          <w:rPr>
            <w:webHidden/>
            <w:rStyle w:val="Czeindeksu"/>
            <w:vanish w:val="false"/>
          </w:rPr>
          <w:t>VII.Informacja o sposobie porozumiewania się zamawiającego z wykonawcami oraz przekazywania oświadczeń i dokumentów oraz osoby uprawnione do porozumiewania się  z wykonawcami</w:t>
          <w:tab/>
          <w:t>10</w:t>
        </w:r>
        <w:r>
          <w:rPr>
            <w:webHidden/>
          </w:rPr>
          <w:fldChar w:fldCharType="end"/>
        </w:r>
      </w:hyperlink>
    </w:p>
    <w:p>
      <w:pPr>
        <w:pStyle w:val="Spistreci1"/>
        <w:rPr>
          <w:rFonts w:ascii="Calibri" w:hAnsi="Calibri" w:cs="" w:asciiTheme="minorHAnsi" w:cstheme="minorBidi" w:hAnsiTheme="minorHAnsi"/>
          <w:lang w:eastAsia="pl-PL"/>
        </w:rPr>
      </w:pPr>
      <w:hyperlink w:anchor="_Toc496698271">
        <w:r>
          <w:rPr>
            <w:webHidden/>
            <w:rStyle w:val="Czeindeksu"/>
            <w:vanish w:val="false"/>
          </w:rPr>
          <w:t>VIII.</w:t>
        </w:r>
        <w:r>
          <w:rPr>
            <w:rStyle w:val="Czeindeksu"/>
            <w:rFonts w:cs="" w:ascii="Calibri" w:hAnsi="Calibri" w:asciiTheme="minorHAnsi" w:cstheme="minorBidi" w:hAnsiTheme="minorHAnsi"/>
            <w:lang w:eastAsia="pl-PL"/>
          </w:rPr>
          <w:tab/>
        </w:r>
        <w:r>
          <w:rPr>
            <w:webHidden/>
          </w:rPr>
          <w:fldChar w:fldCharType="begin"/>
        </w:r>
        <w:r>
          <w:rPr>
            <w:webHidden/>
          </w:rPr>
          <w:instrText>PAGEREF _Toc496698271 \h</w:instrText>
        </w:r>
        <w:r>
          <w:rPr>
            <w:webHidden/>
          </w:rPr>
          <w:fldChar w:fldCharType="separate"/>
        </w:r>
        <w:r>
          <w:rPr>
            <w:rStyle w:val="Czeindeksu"/>
          </w:rPr>
          <w:t>Informacja na temat wadium</w:t>
          <w:tab/>
          <w:t>10</w:t>
        </w:r>
        <w:r>
          <w:rPr>
            <w:webHidden/>
          </w:rPr>
          <w:fldChar w:fldCharType="end"/>
        </w:r>
      </w:hyperlink>
    </w:p>
    <w:p>
      <w:pPr>
        <w:pStyle w:val="Spistreci1"/>
        <w:rPr>
          <w:rFonts w:ascii="Calibri" w:hAnsi="Calibri" w:cs="" w:asciiTheme="minorHAnsi" w:cstheme="minorBidi" w:hAnsiTheme="minorHAnsi"/>
          <w:lang w:eastAsia="pl-PL"/>
        </w:rPr>
      </w:pPr>
      <w:hyperlink w:anchor="_Toc496698272">
        <w:r>
          <w:rPr>
            <w:webHidden/>
          </w:rPr>
          <w:fldChar w:fldCharType="begin"/>
        </w:r>
        <w:r>
          <w:rPr>
            <w:webHidden/>
          </w:rPr>
          <w:instrText>PAGEREF _Toc496698272 \h</w:instrText>
        </w:r>
        <w:r>
          <w:rPr>
            <w:webHidden/>
          </w:rPr>
          <w:fldChar w:fldCharType="separate"/>
        </w:r>
        <w:r>
          <w:rPr>
            <w:webHidden/>
            <w:rStyle w:val="Czeindeksu"/>
            <w:vanish w:val="false"/>
          </w:rPr>
          <w:t>IX.Termin związania ofertą</w:t>
          <w:tab/>
          <w:t>11</w:t>
        </w:r>
        <w:r>
          <w:rPr>
            <w:webHidden/>
          </w:rPr>
          <w:fldChar w:fldCharType="end"/>
        </w:r>
      </w:hyperlink>
    </w:p>
    <w:p>
      <w:pPr>
        <w:pStyle w:val="Spistreci1"/>
        <w:rPr>
          <w:rFonts w:ascii="Calibri" w:hAnsi="Calibri" w:cs="" w:asciiTheme="minorHAnsi" w:cstheme="minorBidi" w:hAnsiTheme="minorHAnsi"/>
          <w:lang w:eastAsia="pl-PL"/>
        </w:rPr>
      </w:pPr>
      <w:hyperlink w:anchor="_Toc496698273">
        <w:r>
          <w:rPr>
            <w:webHidden/>
          </w:rPr>
          <w:fldChar w:fldCharType="begin"/>
        </w:r>
        <w:r>
          <w:rPr>
            <w:webHidden/>
          </w:rPr>
          <w:instrText>PAGEREF _Toc496698273 \h</w:instrText>
        </w:r>
        <w:r>
          <w:rPr>
            <w:webHidden/>
          </w:rPr>
          <w:fldChar w:fldCharType="separate"/>
        </w:r>
        <w:r>
          <w:rPr>
            <w:webHidden/>
            <w:rStyle w:val="Czeindeksu"/>
            <w:vanish w:val="false"/>
          </w:rPr>
          <w:t>X.Opis sposobu przygotowania oferty</w:t>
          <w:tab/>
          <w:t>12</w:t>
        </w:r>
        <w:r>
          <w:rPr>
            <w:webHidden/>
          </w:rPr>
          <w:fldChar w:fldCharType="end"/>
        </w:r>
      </w:hyperlink>
    </w:p>
    <w:p>
      <w:pPr>
        <w:pStyle w:val="Spistreci1"/>
        <w:rPr>
          <w:rFonts w:ascii="Calibri" w:hAnsi="Calibri" w:cs="" w:asciiTheme="minorHAnsi" w:cstheme="minorBidi" w:hAnsiTheme="minorHAnsi"/>
          <w:lang w:eastAsia="pl-PL"/>
        </w:rPr>
      </w:pPr>
      <w:hyperlink w:anchor="_Toc496698274">
        <w:r>
          <w:rPr>
            <w:webHidden/>
          </w:rPr>
          <w:fldChar w:fldCharType="begin"/>
        </w:r>
        <w:r>
          <w:rPr>
            <w:webHidden/>
          </w:rPr>
          <w:instrText>PAGEREF _Toc496698274 \h</w:instrText>
        </w:r>
        <w:r>
          <w:rPr>
            <w:webHidden/>
          </w:rPr>
          <w:fldChar w:fldCharType="separate"/>
        </w:r>
        <w:r>
          <w:rPr>
            <w:webHidden/>
            <w:rStyle w:val="Czeindeksu"/>
            <w:vanish w:val="false"/>
          </w:rPr>
          <w:t>XI.Miejsce oraz termin składania ofert</w:t>
          <w:tab/>
          <w:t>16</w:t>
        </w:r>
        <w:r>
          <w:rPr>
            <w:webHidden/>
          </w:rPr>
          <w:fldChar w:fldCharType="end"/>
        </w:r>
      </w:hyperlink>
    </w:p>
    <w:p>
      <w:pPr>
        <w:pStyle w:val="Spistreci1"/>
        <w:rPr>
          <w:rFonts w:ascii="Calibri" w:hAnsi="Calibri" w:cs="" w:asciiTheme="minorHAnsi" w:cstheme="minorBidi" w:hAnsiTheme="minorHAnsi"/>
          <w:lang w:eastAsia="pl-PL"/>
        </w:rPr>
      </w:pPr>
      <w:hyperlink w:anchor="_Toc496698275">
        <w:r>
          <w:rPr>
            <w:webHidden/>
          </w:rPr>
          <w:fldChar w:fldCharType="begin"/>
        </w:r>
        <w:r>
          <w:rPr>
            <w:webHidden/>
          </w:rPr>
          <w:instrText>PAGEREF _Toc496698275 \h</w:instrText>
        </w:r>
        <w:r>
          <w:rPr>
            <w:webHidden/>
          </w:rPr>
          <w:fldChar w:fldCharType="separate"/>
        </w:r>
        <w:r>
          <w:rPr>
            <w:webHidden/>
            <w:rStyle w:val="Czeindeksu"/>
            <w:vanish w:val="false"/>
          </w:rPr>
          <w:t>XII.Opis sposobu obliczenia ceny</w:t>
          <w:tab/>
          <w:t>17</w:t>
        </w:r>
        <w:r>
          <w:rPr>
            <w:webHidden/>
          </w:rPr>
          <w:fldChar w:fldCharType="end"/>
        </w:r>
      </w:hyperlink>
    </w:p>
    <w:p>
      <w:pPr>
        <w:pStyle w:val="Spistreci1"/>
        <w:rPr>
          <w:rFonts w:ascii="Calibri" w:hAnsi="Calibri" w:cs="" w:asciiTheme="minorHAnsi" w:cstheme="minorBidi" w:hAnsiTheme="minorHAnsi"/>
          <w:lang w:eastAsia="pl-PL"/>
        </w:rPr>
      </w:pPr>
      <w:hyperlink w:anchor="_Toc496698276">
        <w:r>
          <w:rPr>
            <w:webHidden/>
            <w:rStyle w:val="Czeindeksu"/>
            <w:vanish w:val="false"/>
          </w:rPr>
          <w:t>XIII.</w:t>
        </w:r>
        <w:r>
          <w:rPr>
            <w:rStyle w:val="Czeindeksu"/>
            <w:rFonts w:cs="" w:ascii="Calibri" w:hAnsi="Calibri" w:asciiTheme="minorHAnsi" w:cstheme="minorBidi" w:hAnsiTheme="minorHAnsi"/>
            <w:lang w:eastAsia="pl-PL"/>
          </w:rPr>
          <w:tab/>
        </w:r>
        <w:r>
          <w:rPr>
            <w:webHidden/>
          </w:rPr>
          <w:fldChar w:fldCharType="begin"/>
        </w:r>
        <w:r>
          <w:rPr>
            <w:webHidden/>
          </w:rPr>
          <w:instrText>PAGEREF _Toc496698276 \h</w:instrText>
        </w:r>
        <w:r>
          <w:rPr>
            <w:webHidden/>
          </w:rPr>
          <w:fldChar w:fldCharType="separate"/>
        </w:r>
        <w:r>
          <w:rPr>
            <w:rStyle w:val="Czeindeksu"/>
          </w:rPr>
          <w:t>Kryteria oceny oferty - Wybór najkorzystniejszej oferty</w:t>
          <w:tab/>
          <w:t>18</w:t>
        </w:r>
        <w:r>
          <w:rPr>
            <w:webHidden/>
          </w:rPr>
          <w:fldChar w:fldCharType="end"/>
        </w:r>
      </w:hyperlink>
    </w:p>
    <w:p>
      <w:pPr>
        <w:pStyle w:val="Spistreci1"/>
        <w:tabs>
          <w:tab w:val="left" w:pos="440" w:leader="none"/>
          <w:tab w:val="left" w:pos="880" w:leader="none"/>
          <w:tab w:val="right" w:pos="10456" w:leader="dot"/>
        </w:tabs>
        <w:rPr>
          <w:rFonts w:ascii="Calibri" w:hAnsi="Calibri" w:cs="" w:asciiTheme="minorHAnsi" w:cstheme="minorBidi" w:hAnsiTheme="minorHAnsi"/>
          <w:lang w:eastAsia="pl-PL"/>
        </w:rPr>
      </w:pPr>
      <w:hyperlink w:anchor="_Toc496698277">
        <w:r>
          <w:rPr>
            <w:webHidden/>
          </w:rPr>
          <w:fldChar w:fldCharType="begin"/>
        </w:r>
        <w:r>
          <w:rPr>
            <w:webHidden/>
          </w:rPr>
          <w:instrText>PAGEREF _Toc496698277 \h</w:instrText>
        </w:r>
        <w:r>
          <w:rPr>
            <w:webHidden/>
          </w:rPr>
          <w:fldChar w:fldCharType="separate"/>
        </w:r>
        <w:r>
          <w:rPr>
            <w:webHidden/>
            <w:rStyle w:val="Czeindeksu"/>
            <w:vanish w:val="false"/>
          </w:rPr>
          <w:t>XIV.Informacje o formalnościach, jakie winny być dopełnione po wyborze oferty w celu zawarcia umowy w sprawie zamówienia</w:t>
          <w:tab/>
          <w:t>19</w:t>
        </w:r>
        <w:r>
          <w:rPr>
            <w:webHidden/>
          </w:rPr>
          <w:fldChar w:fldCharType="end"/>
        </w:r>
      </w:hyperlink>
    </w:p>
    <w:p>
      <w:pPr>
        <w:pStyle w:val="Spistreci1"/>
        <w:rPr>
          <w:rFonts w:ascii="Calibri" w:hAnsi="Calibri" w:cs="" w:asciiTheme="minorHAnsi" w:cstheme="minorBidi" w:hAnsiTheme="minorHAnsi"/>
          <w:lang w:eastAsia="pl-PL"/>
        </w:rPr>
      </w:pPr>
      <w:hyperlink w:anchor="_Toc496698278">
        <w:r>
          <w:rPr>
            <w:webHidden/>
          </w:rPr>
          <w:fldChar w:fldCharType="begin"/>
        </w:r>
        <w:r>
          <w:rPr>
            <w:webHidden/>
          </w:rPr>
          <w:instrText>PAGEREF _Toc496698278 \h</w:instrText>
        </w:r>
        <w:r>
          <w:rPr>
            <w:webHidden/>
          </w:rPr>
          <w:fldChar w:fldCharType="separate"/>
        </w:r>
        <w:r>
          <w:rPr>
            <w:webHidden/>
            <w:rStyle w:val="Czeindeksu"/>
            <w:vanish w:val="false"/>
          </w:rPr>
          <w:t>XV.Zabezpieczenie należytego wykonania umowy</w:t>
          <w:tab/>
          <w:t>19</w:t>
        </w:r>
        <w:r>
          <w:rPr>
            <w:webHidden/>
          </w:rPr>
          <w:fldChar w:fldCharType="end"/>
        </w:r>
      </w:hyperlink>
    </w:p>
    <w:p>
      <w:pPr>
        <w:pStyle w:val="Spistreci1"/>
        <w:tabs>
          <w:tab w:val="left" w:pos="440" w:leader="none"/>
          <w:tab w:val="left" w:pos="880" w:leader="none"/>
          <w:tab w:val="right" w:pos="10456" w:leader="dot"/>
        </w:tabs>
        <w:rPr>
          <w:rFonts w:ascii="Calibri" w:hAnsi="Calibri" w:cs="" w:asciiTheme="minorHAnsi" w:cstheme="minorBidi" w:hAnsiTheme="minorHAnsi"/>
          <w:lang w:eastAsia="pl-PL"/>
        </w:rPr>
      </w:pPr>
      <w:hyperlink w:anchor="_Toc496698279">
        <w:r>
          <w:rPr>
            <w:webHidden/>
          </w:rPr>
          <w:fldChar w:fldCharType="begin"/>
        </w:r>
        <w:r>
          <w:rPr>
            <w:webHidden/>
          </w:rPr>
          <w:instrText>PAGEREF _Toc496698279 \h</w:instrText>
        </w:r>
        <w:r>
          <w:rPr>
            <w:webHidden/>
          </w:rPr>
          <w:fldChar w:fldCharType="separate"/>
        </w:r>
        <w:r>
          <w:rPr>
            <w:webHidden/>
            <w:rStyle w:val="Czeindeksu"/>
            <w:vanish w:val="false"/>
          </w:rPr>
          <w:t>XVI.Istotne dla stron postanowienia, które zostaną wprowadzone do treści zawieranej umowy  w sprawie zamówienia publicznego, ogólne warunki umowy albo wzór umowy</w:t>
          <w:tab/>
          <w:t>20</w:t>
        </w:r>
        <w:r>
          <w:rPr>
            <w:webHidden/>
          </w:rPr>
          <w:fldChar w:fldCharType="end"/>
        </w:r>
      </w:hyperlink>
    </w:p>
    <w:p>
      <w:pPr>
        <w:pStyle w:val="Spistreci1"/>
        <w:tabs>
          <w:tab w:val="left" w:pos="440" w:leader="none"/>
          <w:tab w:val="left" w:pos="880" w:leader="none"/>
          <w:tab w:val="right" w:pos="10456" w:leader="dot"/>
        </w:tabs>
        <w:rPr>
          <w:rFonts w:ascii="Calibri" w:hAnsi="Calibri" w:cs="" w:asciiTheme="minorHAnsi" w:cstheme="minorBidi" w:hAnsiTheme="minorHAnsi"/>
          <w:lang w:eastAsia="pl-PL"/>
        </w:rPr>
      </w:pPr>
      <w:hyperlink w:anchor="_Toc496698280">
        <w:r>
          <w:rPr>
            <w:webHidden/>
          </w:rPr>
          <w:fldChar w:fldCharType="begin"/>
        </w:r>
        <w:r>
          <w:rPr>
            <w:webHidden/>
          </w:rPr>
          <w:instrText>PAGEREF _Toc496698280 \h</w:instrText>
        </w:r>
        <w:r>
          <w:rPr>
            <w:webHidden/>
          </w:rPr>
          <w:fldChar w:fldCharType="separate"/>
        </w:r>
        <w:r>
          <w:rPr>
            <w:webHidden/>
            <w:rStyle w:val="Czeindeksu"/>
            <w:vanish w:val="false"/>
          </w:rPr>
          <w:t>XVII.Pouczenie o środkach ochrony prawnej przysługujących Wykonawcy w toku postępowania o udzielenie zamówienia</w:t>
          <w:tab/>
          <w:t>22</w:t>
        </w:r>
        <w:r>
          <w:rPr>
            <w:webHidden/>
          </w:rPr>
          <w:fldChar w:fldCharType="end"/>
        </w:r>
      </w:hyperlink>
    </w:p>
    <w:p>
      <w:pPr>
        <w:pStyle w:val="Spistreci1"/>
        <w:tabs>
          <w:tab w:val="left" w:pos="440" w:leader="none"/>
          <w:tab w:val="left" w:pos="880" w:leader="none"/>
          <w:tab w:val="right" w:pos="10456" w:leader="dot"/>
        </w:tabs>
        <w:rPr>
          <w:rFonts w:ascii="Calibri" w:hAnsi="Calibri" w:cs="" w:asciiTheme="minorHAnsi" w:cstheme="minorBidi" w:hAnsiTheme="minorHAnsi"/>
          <w:lang w:eastAsia="pl-PL"/>
        </w:rPr>
      </w:pPr>
      <w:hyperlink w:anchor="_Toc496698281">
        <w:r>
          <w:rPr>
            <w:webHidden/>
          </w:rPr>
          <w:fldChar w:fldCharType="begin"/>
        </w:r>
        <w:r>
          <w:rPr>
            <w:webHidden/>
          </w:rPr>
          <w:instrText>PAGEREF _Toc496698281 \h</w:instrText>
        </w:r>
        <w:r>
          <w:rPr>
            <w:webHidden/>
          </w:rPr>
          <w:fldChar w:fldCharType="separate"/>
        </w:r>
        <w:r>
          <w:rPr>
            <w:webHidden/>
            <w:rStyle w:val="Czeindeksu"/>
            <w:vanish w:val="false"/>
          </w:rPr>
          <w:t>XVIII.Opis części zamówienia</w:t>
          <w:tab/>
          <w:t>23</w:t>
        </w:r>
        <w:r>
          <w:rPr>
            <w:webHidden/>
          </w:rPr>
          <w:fldChar w:fldCharType="end"/>
        </w:r>
      </w:hyperlink>
    </w:p>
    <w:p>
      <w:pPr>
        <w:pStyle w:val="Spistreci1"/>
        <w:tabs>
          <w:tab w:val="left" w:pos="440" w:leader="none"/>
          <w:tab w:val="left" w:pos="880" w:leader="none"/>
          <w:tab w:val="right" w:pos="10456" w:leader="dot"/>
        </w:tabs>
        <w:rPr>
          <w:rFonts w:ascii="Calibri" w:hAnsi="Calibri" w:cs="" w:asciiTheme="minorHAnsi" w:cstheme="minorBidi" w:hAnsiTheme="minorHAnsi"/>
          <w:lang w:eastAsia="pl-PL"/>
        </w:rPr>
      </w:pPr>
      <w:hyperlink w:anchor="_Toc496698282">
        <w:r>
          <w:rPr>
            <w:webHidden/>
          </w:rPr>
          <w:fldChar w:fldCharType="begin"/>
        </w:r>
        <w:r>
          <w:rPr>
            <w:webHidden/>
          </w:rPr>
          <w:instrText>PAGEREF _Toc496698282 \h</w:instrText>
        </w:r>
        <w:r>
          <w:rPr>
            <w:webHidden/>
          </w:rPr>
          <w:fldChar w:fldCharType="separate"/>
        </w:r>
        <w:r>
          <w:rPr>
            <w:webHidden/>
            <w:rStyle w:val="Czeindeksu"/>
            <w:vanish w:val="false"/>
          </w:rPr>
          <w:t>XIX.Umowa ramowa, zamówienia, o których mowa w art. 67 ust. 1 pkt. 7 ustawy,  oferty wariantowe</w:t>
          <w:tab/>
          <w:t>23</w:t>
        </w:r>
        <w:r>
          <w:rPr>
            <w:webHidden/>
          </w:rPr>
          <w:fldChar w:fldCharType="end"/>
        </w:r>
      </w:hyperlink>
    </w:p>
    <w:p>
      <w:pPr>
        <w:pStyle w:val="Spistreci1"/>
        <w:rPr>
          <w:rFonts w:ascii="Calibri" w:hAnsi="Calibri" w:cs="" w:asciiTheme="minorHAnsi" w:cstheme="minorBidi" w:hAnsiTheme="minorHAnsi"/>
          <w:lang w:eastAsia="pl-PL"/>
        </w:rPr>
      </w:pPr>
      <w:hyperlink w:anchor="_Toc496698283">
        <w:r>
          <w:rPr>
            <w:webHidden/>
            <w:rStyle w:val="Czeindeksu"/>
            <w:vanish w:val="false"/>
          </w:rPr>
          <w:t>XX.</w:t>
        </w:r>
        <w:r>
          <w:rPr>
            <w:rStyle w:val="Czeindeksu"/>
            <w:rFonts w:cs="" w:ascii="Calibri" w:hAnsi="Calibri" w:asciiTheme="minorHAnsi" w:cstheme="minorBidi" w:hAnsiTheme="minorHAnsi"/>
            <w:lang w:eastAsia="pl-PL"/>
          </w:rPr>
          <w:tab/>
        </w:r>
        <w:r>
          <w:rPr>
            <w:webHidden/>
          </w:rPr>
          <w:fldChar w:fldCharType="begin"/>
        </w:r>
        <w:r>
          <w:rPr>
            <w:webHidden/>
          </w:rPr>
          <w:instrText>PAGEREF _Toc496698283 \h</w:instrText>
        </w:r>
        <w:r>
          <w:rPr>
            <w:webHidden/>
          </w:rPr>
          <w:fldChar w:fldCharType="separate"/>
        </w:r>
        <w:r>
          <w:rPr>
            <w:rStyle w:val="Czeindeksu"/>
          </w:rPr>
          <w:t>Aukcja elektroniczna</w:t>
          <w:tab/>
          <w:t>23</w:t>
        </w:r>
        <w:r>
          <w:rPr>
            <w:webHidden/>
          </w:rPr>
          <w:fldChar w:fldCharType="end"/>
        </w:r>
      </w:hyperlink>
    </w:p>
    <w:p>
      <w:pPr>
        <w:pStyle w:val="Spistreci1"/>
        <w:tabs>
          <w:tab w:val="left" w:pos="440" w:leader="none"/>
          <w:tab w:val="left" w:pos="880" w:leader="none"/>
          <w:tab w:val="right" w:pos="10456" w:leader="dot"/>
        </w:tabs>
        <w:rPr>
          <w:rFonts w:ascii="Calibri" w:hAnsi="Calibri" w:cs="" w:asciiTheme="minorHAnsi" w:cstheme="minorBidi" w:hAnsiTheme="minorHAnsi"/>
          <w:lang w:eastAsia="pl-PL"/>
        </w:rPr>
      </w:pPr>
      <w:hyperlink w:anchor="_Toc496698284">
        <w:r>
          <w:rPr>
            <w:webHidden/>
          </w:rPr>
          <w:fldChar w:fldCharType="begin"/>
        </w:r>
        <w:r>
          <w:rPr>
            <w:webHidden/>
          </w:rPr>
          <w:instrText>PAGEREF _Toc496698284 \h</w:instrText>
        </w:r>
        <w:r>
          <w:rPr>
            <w:webHidden/>
          </w:rPr>
          <w:fldChar w:fldCharType="separate"/>
        </w:r>
        <w:r>
          <w:rPr>
            <w:webHidden/>
            <w:rStyle w:val="Czeindeksu"/>
            <w:vanish w:val="false"/>
          </w:rPr>
          <w:t>XXI.Informacje dotyczące rozliczeń z zamawiającym</w:t>
          <w:tab/>
          <w:t>23</w:t>
        </w:r>
        <w:r>
          <w:rPr>
            <w:webHidden/>
          </w:rPr>
          <w:fldChar w:fldCharType="end"/>
        </w:r>
      </w:hyperlink>
    </w:p>
    <w:p>
      <w:pPr>
        <w:pStyle w:val="Spistreci1"/>
        <w:tabs>
          <w:tab w:val="left" w:pos="440" w:leader="none"/>
          <w:tab w:val="left" w:pos="880" w:leader="none"/>
          <w:tab w:val="right" w:pos="10456" w:leader="dot"/>
        </w:tabs>
        <w:rPr>
          <w:rFonts w:ascii="Calibri" w:hAnsi="Calibri" w:cs="" w:asciiTheme="minorHAnsi" w:cstheme="minorBidi" w:hAnsiTheme="minorHAnsi"/>
          <w:lang w:eastAsia="pl-PL"/>
        </w:rPr>
      </w:pPr>
      <w:hyperlink w:anchor="_Toc496698285">
        <w:r>
          <w:rPr>
            <w:webHidden/>
          </w:rPr>
          <w:fldChar w:fldCharType="begin"/>
        </w:r>
        <w:r>
          <w:rPr>
            <w:webHidden/>
          </w:rPr>
          <w:instrText>PAGEREF _Toc496698285 \h</w:instrText>
        </w:r>
        <w:r>
          <w:rPr>
            <w:webHidden/>
          </w:rPr>
          <w:fldChar w:fldCharType="separate"/>
        </w:r>
        <w:r>
          <w:rPr>
            <w:webHidden/>
            <w:rStyle w:val="Czeindeksu"/>
            <w:vanish w:val="false"/>
          </w:rPr>
          <w:t>XXII.Koszty udziału w postępowaniu o zamówienie publiczne</w:t>
          <w:tab/>
          <w:t>23</w:t>
        </w:r>
        <w:r>
          <w:rPr>
            <w:webHidden/>
          </w:rPr>
          <w:fldChar w:fldCharType="end"/>
        </w:r>
      </w:hyperlink>
    </w:p>
    <w:p>
      <w:pPr>
        <w:pStyle w:val="Spistreci1"/>
        <w:tabs>
          <w:tab w:val="left" w:pos="440" w:leader="none"/>
          <w:tab w:val="left" w:pos="880" w:leader="none"/>
          <w:tab w:val="right" w:pos="10456" w:leader="dot"/>
        </w:tabs>
        <w:rPr>
          <w:rFonts w:ascii="Calibri" w:hAnsi="Calibri" w:cs="" w:asciiTheme="minorHAnsi" w:cstheme="minorBidi" w:hAnsiTheme="minorHAnsi"/>
          <w:lang w:eastAsia="pl-PL"/>
        </w:rPr>
      </w:pPr>
      <w:hyperlink w:anchor="_Toc496698286">
        <w:r>
          <w:rPr>
            <w:webHidden/>
            <w:rStyle w:val="Czeindeksu"/>
            <w:vanish w:val="false"/>
          </w:rPr>
          <w:t>XXIII.</w:t>
        </w:r>
        <w:r>
          <w:rPr>
            <w:rStyle w:val="Czeindeksu"/>
            <w:bCs/>
          </w:rPr>
          <w:t>Postanowienia końcowe - z</w:t>
        </w:r>
        <w:r>
          <w:rPr>
            <w:webHidden/>
          </w:rPr>
          <w:fldChar w:fldCharType="begin"/>
        </w:r>
        <w:r>
          <w:rPr>
            <w:webHidden/>
          </w:rPr>
          <w:instrText>PAGEREF _Toc496698286 \h</w:instrText>
        </w:r>
        <w:r>
          <w:rPr>
            <w:webHidden/>
          </w:rPr>
          <w:fldChar w:fldCharType="separate"/>
        </w:r>
        <w:r>
          <w:rPr>
            <w:rStyle w:val="Czeindeksu"/>
          </w:rPr>
          <w:t>asady udostępniania dokumentów</w:t>
          <w:tab/>
          <w:t>23</w:t>
        </w:r>
        <w:r>
          <w:rPr>
            <w:webHidden/>
          </w:rPr>
          <w:fldChar w:fldCharType="end"/>
        </w:r>
      </w:hyperlink>
    </w:p>
    <w:p>
      <w:pPr>
        <w:pStyle w:val="Normal"/>
        <w:spacing w:lineRule="auto" w:line="360"/>
        <w:ind w:left="0" w:hanging="0"/>
        <w:rPr>
          <w:sz w:val="18"/>
          <w:szCs w:val="20"/>
        </w:rPr>
      </w:pPr>
      <w:r>
        <w:rPr>
          <w:sz w:val="18"/>
          <w:szCs w:val="20"/>
        </w:rPr>
      </w:r>
      <w:r>
        <w:rPr>
          <w:sz w:val="18"/>
          <w:szCs w:val="20"/>
        </w:rPr>
        <w:fldChar w:fldCharType="end"/>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bookmarkStart w:id="0" w:name="_GoBack"/>
      <w:bookmarkStart w:id="1" w:name="_GoBack"/>
      <w:bookmarkEnd w:id="1"/>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Artyku"/>
        <w:numPr>
          <w:ilvl w:val="0"/>
          <w:numId w:val="1"/>
        </w:numPr>
        <w:rPr/>
      </w:pPr>
      <w:bookmarkStart w:id="2" w:name="_Toc496698263"/>
      <w:r>
        <w:rPr/>
        <w:t>Nazwa i adres zamawiającego</w:t>
      </w:r>
      <w:bookmarkEnd w:id="2"/>
    </w:p>
    <w:p>
      <w:pPr>
        <w:pStyle w:val="Normal"/>
        <w:rPr>
          <w:b/>
          <w:b/>
        </w:rPr>
      </w:pPr>
      <w:r>
        <w:rPr>
          <w:b/>
        </w:rPr>
      </w:r>
    </w:p>
    <w:p>
      <w:pPr>
        <w:pStyle w:val="Normal"/>
        <w:spacing w:lineRule="auto" w:line="276"/>
        <w:ind w:left="0" w:hanging="0"/>
        <w:rPr>
          <w:rFonts w:eastAsia="Calibri"/>
          <w:bCs/>
          <w:szCs w:val="18"/>
        </w:rPr>
      </w:pPr>
      <w:r>
        <w:rPr>
          <w:rFonts w:eastAsia="Calibri"/>
          <w:bCs/>
          <w:szCs w:val="18"/>
        </w:rPr>
        <w:t xml:space="preserve">Gmina Miłosław </w:t>
      </w:r>
      <w:r>
        <w:rPr>
          <w:rFonts w:eastAsia="Calibri"/>
          <w:szCs w:val="18"/>
        </w:rPr>
        <w:t xml:space="preserve">z siedzibą w Miłosławiu </w:t>
        <w:br/>
      </w:r>
      <w:r>
        <w:rPr>
          <w:rFonts w:eastAsia="Calibri"/>
          <w:bCs/>
          <w:szCs w:val="18"/>
        </w:rPr>
        <w:t xml:space="preserve">ul. Wrzesińska 19, 62-320 Miłosław  </w:t>
        <w:br/>
      </w:r>
      <w:r>
        <w:rPr>
          <w:rFonts w:eastAsia="Calibri"/>
          <w:szCs w:val="18"/>
        </w:rPr>
        <w:t>reprezentowana przez Zbigniewa Skikiewicza</w:t>
      </w:r>
      <w:r>
        <w:rPr>
          <w:rFonts w:eastAsia="Calibri"/>
          <w:bCs/>
          <w:szCs w:val="18"/>
        </w:rPr>
        <w:t xml:space="preserve"> – Burmistrza Gminy Miłosław</w:t>
      </w:r>
    </w:p>
    <w:p>
      <w:pPr>
        <w:pStyle w:val="Normal"/>
        <w:spacing w:lineRule="auto" w:line="276"/>
        <w:ind w:left="0" w:hanging="0"/>
        <w:rPr>
          <w:lang w:val="en-US"/>
        </w:rPr>
      </w:pPr>
      <w:r>
        <w:rPr>
          <w:lang w:val="en-US"/>
        </w:rPr>
        <w:t>tel. 61 438 20 21, 61 438 20 22</w:t>
      </w:r>
    </w:p>
    <w:p>
      <w:pPr>
        <w:pStyle w:val="Normal"/>
        <w:spacing w:lineRule="auto" w:line="276"/>
        <w:ind w:left="0" w:hanging="0"/>
        <w:rPr>
          <w:lang w:val="en-US"/>
        </w:rPr>
      </w:pPr>
      <w:r>
        <w:rPr>
          <w:lang w:val="en-US"/>
        </w:rPr>
        <w:t>fax. 61 438 30 51</w:t>
      </w:r>
    </w:p>
    <w:p>
      <w:pPr>
        <w:pStyle w:val="Normal"/>
        <w:spacing w:lineRule="auto" w:line="276"/>
        <w:ind w:left="0" w:hanging="0"/>
        <w:rPr>
          <w:lang w:val="en-US"/>
        </w:rPr>
      </w:pPr>
      <w:r>
        <w:rPr>
          <w:lang w:val="en-US"/>
        </w:rPr>
        <w:t>e-mail: sekretariat@miloslaw.info.pl</w:t>
      </w:r>
    </w:p>
    <w:p>
      <w:pPr>
        <w:pStyle w:val="Normal"/>
        <w:spacing w:lineRule="auto" w:line="276"/>
        <w:ind w:left="0" w:hanging="0"/>
        <w:rPr/>
      </w:pPr>
      <w:r>
        <w:rPr>
          <w:color w:val="000000"/>
          <w:szCs w:val="20"/>
        </w:rPr>
        <w:t xml:space="preserve">strona internetowa Urzędu Gminy Miłosław: </w:t>
      </w:r>
      <w:hyperlink r:id="rId3">
        <w:r>
          <w:rPr>
            <w:rStyle w:val="Czeinternetowe"/>
            <w:color w:val="auto"/>
            <w:szCs w:val="20"/>
            <w:u w:val="none"/>
          </w:rPr>
          <w:t>http://www.miloslaw.bip.net.pl/</w:t>
        </w:r>
      </w:hyperlink>
    </w:p>
    <w:p>
      <w:pPr>
        <w:pStyle w:val="Normal"/>
        <w:spacing w:lineRule="auto" w:line="276"/>
        <w:ind w:left="0" w:hanging="0"/>
        <w:rPr/>
      </w:pPr>
      <w:r>
        <w:rPr/>
      </w:r>
    </w:p>
    <w:p>
      <w:pPr>
        <w:pStyle w:val="Artyku"/>
        <w:numPr>
          <w:ilvl w:val="0"/>
          <w:numId w:val="1"/>
        </w:numPr>
        <w:rPr/>
      </w:pPr>
      <w:bookmarkStart w:id="3" w:name="_Toc496698264"/>
      <w:r>
        <w:rPr/>
        <w:t>Tryb udzielenia zamówienia</w:t>
      </w:r>
      <w:bookmarkEnd w:id="3"/>
    </w:p>
    <w:p>
      <w:pPr>
        <w:pStyle w:val="Normal"/>
        <w:rPr>
          <w:b/>
          <w:b/>
        </w:rPr>
      </w:pPr>
      <w:r>
        <w:rPr>
          <w:b/>
        </w:rPr>
      </w:r>
    </w:p>
    <w:p>
      <w:pPr>
        <w:pStyle w:val="Normal"/>
        <w:spacing w:lineRule="auto" w:line="276"/>
        <w:ind w:left="0" w:hanging="0"/>
        <w:jc w:val="both"/>
        <w:rPr/>
      </w:pPr>
      <w:r>
        <w:rPr>
          <w:rFonts w:eastAsia="Calibri"/>
          <w:szCs w:val="18"/>
        </w:rPr>
        <w:t xml:space="preserve">Postępowanie o udzielenie zamówienia publicznego prowadzone jest w trybie przetargu nieograniczonego </w:t>
        <w:br/>
        <w:t xml:space="preserve">o wartości nieprzekraczającej równowartości 5.225.000 euro (dla robót budowlanych). Podstawa prawna udzielenia zamówienia publicznego: art. 10 ust. 1 oraz art. 39 - 46 ustawy z dnia 29 stycznia 2004 r. – Prawo zamówień publicznych (tj. Dz. U. z 2017 r., poz. 1579) zwana dalej ustawą Pzp wraz z aktami wykonawczymi do ustawy. W zakresie nieuregulowanym niniejszą Specyfikacją Istotnych Warunków Zamówienia, zwaną dalej: „SIWZ”, zastosowanie mają przepisy ustawy Pzp. </w:t>
      </w:r>
    </w:p>
    <w:p>
      <w:pPr>
        <w:pStyle w:val="Normal"/>
        <w:ind w:left="0" w:hanging="0"/>
        <w:jc w:val="both"/>
        <w:rPr>
          <w:rFonts w:eastAsia="Calibri"/>
          <w:b/>
          <w:b/>
          <w:szCs w:val="18"/>
        </w:rPr>
      </w:pPr>
      <w:r>
        <w:rPr>
          <w:rFonts w:eastAsia="Calibri"/>
          <w:b/>
          <w:szCs w:val="18"/>
        </w:rPr>
      </w:r>
    </w:p>
    <w:p>
      <w:pPr>
        <w:pStyle w:val="Artyku"/>
        <w:numPr>
          <w:ilvl w:val="0"/>
          <w:numId w:val="1"/>
        </w:numPr>
        <w:rPr/>
      </w:pPr>
      <w:bookmarkStart w:id="4" w:name="_Toc496698265"/>
      <w:r>
        <w:rPr/>
        <w:t>Opis przedmiotu zamówienia</w:t>
      </w:r>
      <w:bookmarkEnd w:id="4"/>
    </w:p>
    <w:p>
      <w:pPr>
        <w:pStyle w:val="Normal"/>
        <w:widowControl w:val="false"/>
        <w:suppressAutoHyphens w:val="true"/>
        <w:overflowPunct w:val="false"/>
        <w:ind w:left="0" w:hanging="0"/>
        <w:jc w:val="both"/>
        <w:textAlignment w:val="baseline"/>
        <w:rPr>
          <w:rFonts w:eastAsia="Arial Narrow"/>
          <w:kern w:val="2"/>
          <w:sz w:val="18"/>
          <w:szCs w:val="18"/>
          <w:lang w:eastAsia="pl-PL"/>
        </w:rPr>
      </w:pPr>
      <w:r>
        <w:rPr>
          <w:rFonts w:eastAsia="Arial Narrow"/>
          <w:kern w:val="2"/>
          <w:sz w:val="18"/>
          <w:szCs w:val="18"/>
          <w:lang w:eastAsia="pl-PL"/>
        </w:rPr>
      </w:r>
    </w:p>
    <w:p>
      <w:pPr>
        <w:pStyle w:val="Normal"/>
        <w:widowControl w:val="false"/>
        <w:suppressAutoHyphens w:val="true"/>
        <w:overflowPunct w:val="false"/>
        <w:spacing w:lineRule="auto" w:line="276"/>
        <w:ind w:left="0" w:hanging="0"/>
        <w:jc w:val="both"/>
        <w:textAlignment w:val="baseline"/>
        <w:rPr/>
      </w:pPr>
      <w:r>
        <w:rPr>
          <w:rFonts w:eastAsia="Arial Narrow"/>
          <w:kern w:val="2"/>
          <w:szCs w:val="18"/>
          <w:lang w:eastAsia="pl-PL"/>
        </w:rPr>
        <w:t>Rodzaj zamówienia: Roboty budowlane</w:t>
      </w:r>
    </w:p>
    <w:p>
      <w:pPr>
        <w:pStyle w:val="Normal"/>
        <w:widowControl w:val="false"/>
        <w:suppressAutoHyphens w:val="true"/>
        <w:overflowPunct w:val="false"/>
        <w:spacing w:lineRule="auto" w:line="276"/>
        <w:ind w:left="0" w:hanging="0"/>
        <w:jc w:val="both"/>
        <w:textAlignment w:val="baseline"/>
        <w:rPr>
          <w:rFonts w:eastAsia="Arial Narrow"/>
          <w:color w:val="000000"/>
          <w:kern w:val="2"/>
          <w:szCs w:val="18"/>
          <w:lang w:eastAsia="pl-PL"/>
        </w:rPr>
      </w:pPr>
      <w:r>
        <w:rPr>
          <w:rFonts w:eastAsia="Arial Narrow"/>
          <w:color w:val="000000"/>
          <w:kern w:val="2"/>
          <w:szCs w:val="18"/>
          <w:lang w:eastAsia="pl-PL"/>
        </w:rPr>
      </w:r>
    </w:p>
    <w:p>
      <w:pPr>
        <w:pStyle w:val="ListParagraph"/>
        <w:numPr>
          <w:ilvl w:val="0"/>
          <w:numId w:val="2"/>
        </w:numPr>
        <w:jc w:val="both"/>
        <w:rPr>
          <w:color w:val="000000"/>
        </w:rPr>
      </w:pPr>
      <w:r>
        <w:rPr>
          <w:color w:val="000000"/>
          <w:szCs w:val="24"/>
        </w:rPr>
        <w:t>Przedmiotem zamówienia jest: przeb</w:t>
      </w:r>
      <w:r>
        <w:rPr>
          <w:color w:val="000000"/>
          <w:szCs w:val="24"/>
        </w:rPr>
        <w:t>udowa ul. Wierzbowej, Leszczynowej, Kasztanowej w Orzechowie – Etap I</w:t>
      </w:r>
    </w:p>
    <w:p>
      <w:pPr>
        <w:pStyle w:val="ListParagraph"/>
        <w:numPr>
          <w:ilvl w:val="0"/>
          <w:numId w:val="4"/>
        </w:numPr>
        <w:jc w:val="both"/>
        <w:rPr>
          <w:szCs w:val="24"/>
        </w:rPr>
      </w:pPr>
      <w:r>
        <w:rPr>
          <w:color w:val="000000"/>
          <w:szCs w:val="24"/>
        </w:rPr>
        <w:t>jezdnia z kostki betonowej szarej 8 cm,</w:t>
      </w:r>
    </w:p>
    <w:p>
      <w:pPr>
        <w:pStyle w:val="ListParagraph"/>
        <w:numPr>
          <w:ilvl w:val="0"/>
          <w:numId w:val="4"/>
        </w:numPr>
        <w:jc w:val="both"/>
        <w:rPr>
          <w:szCs w:val="24"/>
        </w:rPr>
      </w:pPr>
      <w:r>
        <w:rPr>
          <w:color w:val="000000"/>
          <w:szCs w:val="24"/>
        </w:rPr>
        <w:t>zjazdy z kostki betonowej czerwonej 8 cm,</w:t>
      </w:r>
    </w:p>
    <w:p>
      <w:pPr>
        <w:pStyle w:val="ListParagraph"/>
        <w:numPr>
          <w:ilvl w:val="0"/>
          <w:numId w:val="4"/>
        </w:numPr>
        <w:jc w:val="both"/>
        <w:rPr>
          <w:szCs w:val="24"/>
        </w:rPr>
      </w:pPr>
      <w:r>
        <w:rPr>
          <w:color w:val="000000"/>
          <w:szCs w:val="24"/>
        </w:rPr>
        <w:t>odwodnienia grawitacyjne wykorzystanie spadków podłużnych i poprzecznych,</w:t>
      </w:r>
    </w:p>
    <w:p>
      <w:pPr>
        <w:pStyle w:val="ListParagraph"/>
        <w:numPr>
          <w:ilvl w:val="0"/>
          <w:numId w:val="4"/>
        </w:numPr>
        <w:jc w:val="both"/>
        <w:rPr>
          <w:szCs w:val="24"/>
        </w:rPr>
      </w:pPr>
      <w:r>
        <w:rPr>
          <w:color w:val="000000"/>
          <w:szCs w:val="24"/>
        </w:rPr>
        <w:t>pobocza z tłucznia.</w:t>
      </w:r>
    </w:p>
    <w:p>
      <w:pPr>
        <w:pStyle w:val="ListParagraph"/>
        <w:numPr>
          <w:ilvl w:val="0"/>
          <w:numId w:val="2"/>
        </w:numPr>
        <w:jc w:val="both"/>
        <w:rPr>
          <w:szCs w:val="24"/>
        </w:rPr>
      </w:pPr>
      <w:r>
        <w:rPr>
          <w:szCs w:val="24"/>
        </w:rPr>
        <w:t>Szczegółowy opis przedmiotu zamówienia zawiera dokumentacja załączona do SIWZ , a w szczególności:</w:t>
      </w:r>
    </w:p>
    <w:p>
      <w:pPr>
        <w:pStyle w:val="ListParagraph"/>
        <w:numPr>
          <w:ilvl w:val="0"/>
          <w:numId w:val="3"/>
        </w:numPr>
        <w:jc w:val="both"/>
        <w:rPr>
          <w:szCs w:val="24"/>
        </w:rPr>
      </w:pPr>
      <w:r>
        <w:rPr>
          <w:szCs w:val="24"/>
        </w:rPr>
        <w:t>projekt budowlany</w:t>
      </w:r>
    </w:p>
    <w:p>
      <w:pPr>
        <w:pStyle w:val="ListParagraph"/>
        <w:numPr>
          <w:ilvl w:val="0"/>
          <w:numId w:val="3"/>
        </w:numPr>
        <w:jc w:val="both"/>
        <w:rPr>
          <w:szCs w:val="24"/>
        </w:rPr>
      </w:pPr>
      <w:r>
        <w:rPr>
          <w:szCs w:val="24"/>
        </w:rPr>
        <w:t>informacja dotycząca bezpieczeństwa i ochrony zdrowia,</w:t>
      </w:r>
    </w:p>
    <w:p>
      <w:pPr>
        <w:pStyle w:val="ListParagraph"/>
        <w:numPr>
          <w:ilvl w:val="0"/>
          <w:numId w:val="3"/>
        </w:numPr>
        <w:jc w:val="both"/>
        <w:rPr>
          <w:szCs w:val="24"/>
        </w:rPr>
      </w:pPr>
      <w:r>
        <w:rPr>
          <w:szCs w:val="24"/>
        </w:rPr>
        <w:t>specyfikacje techniczne wykonania i odbioru robót,</w:t>
      </w:r>
    </w:p>
    <w:p>
      <w:pPr>
        <w:pStyle w:val="ListParagraph"/>
        <w:numPr>
          <w:ilvl w:val="0"/>
          <w:numId w:val="3"/>
        </w:numPr>
        <w:jc w:val="both"/>
        <w:rPr>
          <w:szCs w:val="24"/>
        </w:rPr>
      </w:pPr>
      <w:r>
        <w:rPr>
          <w:szCs w:val="24"/>
        </w:rPr>
        <w:t>przedmiary robót.</w:t>
      </w:r>
    </w:p>
    <w:p>
      <w:pPr>
        <w:pStyle w:val="ListParagraph"/>
        <w:numPr>
          <w:ilvl w:val="0"/>
          <w:numId w:val="2"/>
        </w:numPr>
        <w:jc w:val="both"/>
        <w:rPr>
          <w:szCs w:val="24"/>
        </w:rPr>
      </w:pPr>
      <w:r>
        <w:rPr>
          <w:szCs w:val="24"/>
        </w:rPr>
        <w:t xml:space="preserve">Wykonawca wykona przedmiot zamówienia zgodnie z obowiązującymi przepisami, w tym w szczególności zgodnie z ustawą Prawo  budowlane (Dz. U. 2013, poz. 1409). Wskazane przez Zamawiającego </w:t>
      </w:r>
      <w:r>
        <w:rPr>
          <w:b/>
          <w:bCs/>
          <w:i/>
          <w:iCs/>
          <w:szCs w:val="24"/>
        </w:rPr>
        <w:t xml:space="preserve">nazwy własne producentów </w:t>
      </w:r>
      <w:r>
        <w:rPr>
          <w:szCs w:val="24"/>
        </w:rPr>
        <w:t xml:space="preserve">nie są wiążące dla Wykonawcy i  należy je traktować jako przykładowe do określenia parametrów i wymogów technicznych. Przyjęte w dokumentacji rodzaje materiałów i urządzeń  zostały użyte  przykładowo, w celu opisania przedmiotu zamówienia. Wykonawca zobowiązany jest do przedstawienia w ofercie materiałów i urządzeń </w:t>
      </w:r>
      <w:r>
        <w:rPr>
          <w:b/>
          <w:i/>
          <w:szCs w:val="24"/>
        </w:rPr>
        <w:t>równoważnych</w:t>
      </w:r>
      <w:r>
        <w:rPr>
          <w:szCs w:val="24"/>
        </w:rPr>
        <w:t xml:space="preserve">, o nie gorszych parametrach . </w:t>
      </w:r>
    </w:p>
    <w:p>
      <w:pPr>
        <w:pStyle w:val="ListParagraph"/>
        <w:numPr>
          <w:ilvl w:val="0"/>
          <w:numId w:val="2"/>
        </w:numPr>
        <w:jc w:val="both"/>
        <w:rPr>
          <w:szCs w:val="24"/>
        </w:rPr>
      </w:pPr>
      <w:r>
        <w:rPr>
          <w:szCs w:val="24"/>
        </w:rPr>
        <w:t>Wykonanie zamówienia obejmuje w szczególności:</w:t>
      </w:r>
    </w:p>
    <w:p>
      <w:pPr>
        <w:pStyle w:val="ListParagraph"/>
        <w:numPr>
          <w:ilvl w:val="0"/>
          <w:numId w:val="5"/>
        </w:numPr>
        <w:jc w:val="both"/>
        <w:rPr>
          <w:szCs w:val="24"/>
        </w:rPr>
      </w:pPr>
      <w:r>
        <w:rPr>
          <w:szCs w:val="24"/>
        </w:rPr>
        <w:t>opracowanie planu bezpieczeństwa i ochrony zdrowia,</w:t>
      </w:r>
    </w:p>
    <w:p>
      <w:pPr>
        <w:pStyle w:val="ListParagraph"/>
        <w:numPr>
          <w:ilvl w:val="0"/>
          <w:numId w:val="5"/>
        </w:numPr>
        <w:jc w:val="both"/>
        <w:rPr>
          <w:szCs w:val="24"/>
        </w:rPr>
      </w:pPr>
      <w:r>
        <w:rPr>
          <w:szCs w:val="24"/>
        </w:rPr>
        <w:t xml:space="preserve">wykonanie wszelkich robót przygotowawczych </w:t>
      </w:r>
    </w:p>
    <w:p>
      <w:pPr>
        <w:pStyle w:val="ListParagraph"/>
        <w:numPr>
          <w:ilvl w:val="0"/>
          <w:numId w:val="5"/>
        </w:numPr>
        <w:jc w:val="both"/>
        <w:rPr>
          <w:szCs w:val="24"/>
        </w:rPr>
      </w:pPr>
      <w:r>
        <w:rPr>
          <w:szCs w:val="24"/>
        </w:rPr>
        <w:t>organizację ruchu na czas prowadzenia robót wraz z ich niezbędnym oznakowaniem,</w:t>
      </w:r>
    </w:p>
    <w:p>
      <w:pPr>
        <w:pStyle w:val="ListParagraph"/>
        <w:numPr>
          <w:ilvl w:val="0"/>
          <w:numId w:val="5"/>
        </w:numPr>
        <w:jc w:val="both"/>
        <w:rPr>
          <w:szCs w:val="24"/>
        </w:rPr>
      </w:pPr>
      <w:r>
        <w:rPr>
          <w:szCs w:val="24"/>
        </w:rPr>
        <w:t>odwodnienie terenu budowy,</w:t>
      </w:r>
    </w:p>
    <w:p>
      <w:pPr>
        <w:pStyle w:val="ListParagraph"/>
        <w:numPr>
          <w:ilvl w:val="0"/>
          <w:numId w:val="5"/>
        </w:numPr>
        <w:jc w:val="both"/>
        <w:rPr>
          <w:szCs w:val="24"/>
        </w:rPr>
      </w:pPr>
      <w:r>
        <w:rPr>
          <w:szCs w:val="24"/>
        </w:rPr>
        <w:t>wszelkie roboty i prace ziemne (w tym w szczególności wykopy) winny być wykonane w uzgodnionych w  harmonogramie  rzeczowo – finansowym terminach, a w przypadku przerw związanych z warunkami pogodowymi, winny być trwale zabezpieczone  przed  naruszeniem struktury gruntu,</w:t>
      </w:r>
    </w:p>
    <w:p>
      <w:pPr>
        <w:pStyle w:val="ListParagraph"/>
        <w:numPr>
          <w:ilvl w:val="0"/>
          <w:numId w:val="5"/>
        </w:numPr>
        <w:jc w:val="both"/>
        <w:rPr>
          <w:szCs w:val="24"/>
        </w:rPr>
      </w:pPr>
      <w:r>
        <w:rPr>
          <w:szCs w:val="24"/>
        </w:rPr>
        <w:t xml:space="preserve">zagospodarowanie i wywóz gruntu z wykopów we własnym zakresie, </w:t>
      </w:r>
    </w:p>
    <w:p>
      <w:pPr>
        <w:pStyle w:val="ListParagraph"/>
        <w:numPr>
          <w:ilvl w:val="0"/>
          <w:numId w:val="5"/>
        </w:numPr>
        <w:jc w:val="both"/>
        <w:rPr>
          <w:szCs w:val="24"/>
        </w:rPr>
      </w:pPr>
      <w:r>
        <w:rPr>
          <w:szCs w:val="24"/>
        </w:rPr>
        <w:t xml:space="preserve">właściwe postępowanie z odpadami powstałymi przy wykonywaniu przedmiotu umowy; </w:t>
      </w:r>
    </w:p>
    <w:p>
      <w:pPr>
        <w:pStyle w:val="ListParagraph"/>
        <w:numPr>
          <w:ilvl w:val="0"/>
          <w:numId w:val="5"/>
        </w:numPr>
        <w:jc w:val="both"/>
        <w:rPr>
          <w:szCs w:val="24"/>
        </w:rPr>
      </w:pPr>
      <w:r>
        <w:rPr>
          <w:szCs w:val="24"/>
        </w:rPr>
        <w:t>przekopy kontrolne, w tym wykonanie przekładek w przypadku kolizji z istniejącym uzbrojeniem,</w:t>
      </w:r>
    </w:p>
    <w:p>
      <w:pPr>
        <w:pStyle w:val="ListParagraph"/>
        <w:numPr>
          <w:ilvl w:val="0"/>
          <w:numId w:val="5"/>
        </w:numPr>
        <w:jc w:val="both"/>
        <w:rPr>
          <w:szCs w:val="24"/>
        </w:rPr>
      </w:pPr>
      <w:r>
        <w:rPr>
          <w:szCs w:val="24"/>
        </w:rPr>
        <w:t>wykonanie niezbędnych rusztowań,</w:t>
      </w:r>
    </w:p>
    <w:p>
      <w:pPr>
        <w:pStyle w:val="ListParagraph"/>
        <w:numPr>
          <w:ilvl w:val="0"/>
          <w:numId w:val="5"/>
        </w:numPr>
        <w:jc w:val="both"/>
        <w:rPr>
          <w:szCs w:val="24"/>
        </w:rPr>
      </w:pPr>
      <w:r>
        <w:rPr>
          <w:szCs w:val="24"/>
        </w:rPr>
        <w:t>odtworzenia wszelkich budynków, dróg i chodników zniszczonych w trakcie realizacji robót,</w:t>
      </w:r>
    </w:p>
    <w:p>
      <w:pPr>
        <w:pStyle w:val="ListParagraph"/>
        <w:numPr>
          <w:ilvl w:val="0"/>
          <w:numId w:val="5"/>
        </w:numPr>
        <w:jc w:val="both"/>
        <w:rPr>
          <w:szCs w:val="24"/>
        </w:rPr>
      </w:pPr>
      <w:r>
        <w:rPr>
          <w:szCs w:val="24"/>
        </w:rPr>
        <w:t>doprowadzenia terenu do stanu pierwotnego (z uwzględnieniem stanu wynikającego z wykonanych robót budowlanych) po zakończeniu realizacji robót,</w:t>
      </w:r>
    </w:p>
    <w:p>
      <w:pPr>
        <w:pStyle w:val="ListParagraph"/>
        <w:numPr>
          <w:ilvl w:val="0"/>
          <w:numId w:val="5"/>
        </w:numPr>
        <w:jc w:val="both"/>
        <w:rPr>
          <w:szCs w:val="24"/>
        </w:rPr>
      </w:pPr>
      <w:r>
        <w:rPr>
          <w:szCs w:val="24"/>
        </w:rPr>
        <w:t>wykonanie inwentaryzacji geodezyjnej i dokumentacji powykonawczej,</w:t>
      </w:r>
    </w:p>
    <w:p>
      <w:pPr>
        <w:pStyle w:val="ListParagraph"/>
        <w:numPr>
          <w:ilvl w:val="0"/>
          <w:numId w:val="2"/>
        </w:numPr>
        <w:jc w:val="both"/>
        <w:rPr>
          <w:szCs w:val="24"/>
        </w:rPr>
      </w:pPr>
      <w:r>
        <w:rPr>
          <w:szCs w:val="24"/>
        </w:rPr>
        <w:t>Pozostałe wymagania odnośnie realizacji inwestycji:</w:t>
      </w:r>
    </w:p>
    <w:p>
      <w:pPr>
        <w:pStyle w:val="ListParagraph"/>
        <w:numPr>
          <w:ilvl w:val="0"/>
          <w:numId w:val="6"/>
        </w:numPr>
        <w:jc w:val="both"/>
        <w:rPr>
          <w:szCs w:val="24"/>
        </w:rPr>
      </w:pPr>
      <w:r>
        <w:rPr>
          <w:szCs w:val="24"/>
        </w:rPr>
        <w:t>Prace należy wykonać zgodnie z projektem. Wszelkie materiały zamienne winny uzyskać akceptacje Inwestora, Projektanta oraz   Inspektora Nadzoru,</w:t>
      </w:r>
    </w:p>
    <w:p>
      <w:pPr>
        <w:pStyle w:val="ListParagraph"/>
        <w:numPr>
          <w:ilvl w:val="0"/>
          <w:numId w:val="6"/>
        </w:numPr>
        <w:jc w:val="both"/>
        <w:rPr>
          <w:szCs w:val="24"/>
        </w:rPr>
      </w:pPr>
      <w:r>
        <w:rPr>
          <w:szCs w:val="24"/>
        </w:rPr>
        <w:t>W przypadku wątpliwości lub pojawienia się na budowie nieprzewidzianych w projekcie okoliczności Wykonawca powiadomi  niezwłocznie Zamawiającego,</w:t>
      </w:r>
    </w:p>
    <w:p>
      <w:pPr>
        <w:pStyle w:val="ListParagraph"/>
        <w:numPr>
          <w:ilvl w:val="0"/>
          <w:numId w:val="6"/>
        </w:numPr>
        <w:jc w:val="both"/>
        <w:rPr>
          <w:szCs w:val="24"/>
        </w:rPr>
      </w:pPr>
      <w:r>
        <w:rPr>
          <w:szCs w:val="24"/>
        </w:rPr>
        <w:t>Wykonawca zobowiązany jest dokonać wszystkich niezbędnych zgłoszeń i uzgodnień, w odniesieniu do ewentualnych utrudnień,    mogących pojawić się w związku z prowadzonymi robotami takich jak zamienna organizacja ruchu (zgłaszana z oznakowaniem, na czas prowadzenia robót, utrzymanie i jej likwidację),</w:t>
      </w:r>
    </w:p>
    <w:p>
      <w:pPr>
        <w:pStyle w:val="ListParagraph"/>
        <w:numPr>
          <w:ilvl w:val="0"/>
          <w:numId w:val="6"/>
        </w:numPr>
        <w:jc w:val="both"/>
        <w:rPr>
          <w:szCs w:val="24"/>
        </w:rPr>
      </w:pPr>
      <w:r>
        <w:rPr>
          <w:szCs w:val="24"/>
        </w:rPr>
        <w:t>Zamawiający będzie organizował i zwoływał sukcesywne i cykliczne narady na budowie (forma zgłoszeń: pisemna lub telefoniczna lub faks lub elektroniczna),</w:t>
      </w:r>
    </w:p>
    <w:p>
      <w:pPr>
        <w:pStyle w:val="ListParagraph"/>
        <w:numPr>
          <w:ilvl w:val="0"/>
          <w:numId w:val="2"/>
        </w:numPr>
        <w:jc w:val="both"/>
        <w:rPr>
          <w:szCs w:val="24"/>
        </w:rPr>
      </w:pPr>
      <w:r>
        <w:rPr>
          <w:szCs w:val="24"/>
        </w:rPr>
        <w:t>Informacje dodatkowe:</w:t>
      </w:r>
    </w:p>
    <w:p>
      <w:pPr>
        <w:pStyle w:val="ListParagraph"/>
        <w:numPr>
          <w:ilvl w:val="0"/>
          <w:numId w:val="7"/>
        </w:numPr>
        <w:jc w:val="both"/>
        <w:rPr>
          <w:szCs w:val="24"/>
        </w:rPr>
      </w:pPr>
      <w:r>
        <w:rPr>
          <w:szCs w:val="24"/>
        </w:rPr>
        <w:t xml:space="preserve">Wykonawca jest zobowiązany dostarczyć harmonogram rzeczowo-finansowy Zamawiającemu najpóźniej do momentu podpisania umowy. Wykonawca jest zobowiązany przygotować harmonogram rzeczowo-finansowy, który będzie obejmował w szczególności terminy wykonania przez Wykonawcę robót, z podziałem na etapy. Dostarczenie harmonogramu rzeczowo-finansowego jest warunkiem podpisania umowy. Harmonogram rzeczowo – finansowy powinien uwzględniać przewidywany przez Zamawiającego termin wykonania i sposób finansowania inwestycji tj. okres realizacji do </w:t>
      </w:r>
      <w:r>
        <w:rPr>
          <w:color w:val="000000"/>
          <w:szCs w:val="24"/>
        </w:rPr>
        <w:t xml:space="preserve">20 listopada  2018 roku </w:t>
      </w:r>
      <w:r>
        <w:rPr>
          <w:szCs w:val="24"/>
        </w:rPr>
        <w:t>i płatność jedną fakturą końcową.</w:t>
      </w:r>
    </w:p>
    <w:p>
      <w:pPr>
        <w:pStyle w:val="ListParagraph"/>
        <w:numPr>
          <w:ilvl w:val="0"/>
          <w:numId w:val="7"/>
        </w:numPr>
        <w:jc w:val="both"/>
        <w:rPr>
          <w:szCs w:val="24"/>
        </w:rPr>
      </w:pPr>
      <w:r>
        <w:rPr>
          <w:szCs w:val="24"/>
        </w:rPr>
        <w:t>Wykonawca w ramach zadania zapewni odpowiedni personel do pełnienia samodzielnych funkcji w budownictwie posiadających odpowiednie kwalifikacje zawodowe (uprawnienia budowlane) dla kierowników robót branżowych.</w:t>
      </w:r>
    </w:p>
    <w:p>
      <w:pPr>
        <w:pStyle w:val="ListParagraph"/>
        <w:numPr>
          <w:ilvl w:val="0"/>
          <w:numId w:val="2"/>
        </w:numPr>
        <w:jc w:val="both"/>
        <w:rPr>
          <w:szCs w:val="24"/>
        </w:rPr>
      </w:pPr>
      <w:r>
        <w:rPr>
          <w:szCs w:val="24"/>
        </w:rPr>
        <w:t>Pozostałe warunki dotyczące realizacji zamówienia zostały określone w istotnych postanowieniach umowy (w projekcie umowy, stanowiącym załącznik  do SIWZ).</w:t>
      </w:r>
    </w:p>
    <w:p>
      <w:pPr>
        <w:pStyle w:val="ListParagraph"/>
        <w:numPr>
          <w:ilvl w:val="0"/>
          <w:numId w:val="2"/>
        </w:numPr>
        <w:jc w:val="both"/>
        <w:rPr>
          <w:szCs w:val="24"/>
        </w:rPr>
      </w:pPr>
      <w:r>
        <w:rPr>
          <w:szCs w:val="24"/>
        </w:rPr>
        <w:t xml:space="preserve">Zamawiający na podstawie art. 29 ust. 3a ustawy Pzp wymaga zatrudnienia przez wykonawcę lub podwykonawcę na podstawie umowy o pracę osób wykonujących czynności w zakresie realizacji zamówienia w rozumieniu przepisów ustawy z dnia 26 czerwca 1974 r. – Kodeks pracy (Dz. U. z 2014 r.. poz. 1502 z późn. zm.) Zamawiający wymaga zatrudnienia przez Wykonawcę lub Podwykonawcę na podstawie umowy o pracę, osób wykonujących : roboty przygotowawcze, wymianę gruntu, wykonanie robót związanych z budową i przebudową nawierzchni, wykonanie kanalizacji deszczowej , </w:t>
      </w:r>
    </w:p>
    <w:p>
      <w:pPr>
        <w:pStyle w:val="Normal"/>
        <w:ind w:left="-709" w:hanging="0"/>
        <w:jc w:val="both"/>
        <w:rPr>
          <w:szCs w:val="24"/>
        </w:rPr>
      </w:pPr>
      <w:r>
        <w:rPr>
          <w:szCs w:val="24"/>
        </w:rPr>
        <w:t xml:space="preserve"> </w:t>
      </w:r>
      <w:r>
        <w:rPr>
          <w:szCs w:val="24"/>
        </w:rPr>
        <w:tab/>
        <w:tab/>
        <w:t>Wykonawca:</w:t>
      </w:r>
    </w:p>
    <w:p>
      <w:pPr>
        <w:pStyle w:val="ListParagraph"/>
        <w:numPr>
          <w:ilvl w:val="0"/>
          <w:numId w:val="10"/>
        </w:numPr>
        <w:jc w:val="both"/>
        <w:rPr>
          <w:szCs w:val="24"/>
        </w:rPr>
      </w:pPr>
      <w:r>
        <w:rPr>
          <w:szCs w:val="24"/>
        </w:rPr>
        <w:t>zobowiązuje się, że Pracownicy świadczący usługi będą w okresie realizacji umowy zatrudnieni na podstawie umowy o pracę w rozumieniu przepisów ustawy z dnia 26 czerwca 1974 r. -Kodeks pracy (Dz. U. 2014 r., poz. 1502 ze zm.)</w:t>
      </w:r>
    </w:p>
    <w:p>
      <w:pPr>
        <w:pStyle w:val="ListParagraph"/>
        <w:numPr>
          <w:ilvl w:val="0"/>
          <w:numId w:val="10"/>
        </w:numPr>
        <w:jc w:val="both"/>
        <w:rPr>
          <w:szCs w:val="24"/>
        </w:rPr>
      </w:pPr>
      <w:r>
        <w:rPr>
          <w:szCs w:val="24"/>
        </w:rPr>
        <w:t>każdorazowo na żądanie Zamawiającego, w terminie wskazanym przez Zamawiającego nie krótszym niż 5 dni robocze, Wykonawca zobowiązuje się przedłożyć do wglądu poświadczone za zgodność z oryginałem odpowiednio przez Wykonawcę lub Podwykonawcę kopię umów o pracę osób wykonujących w trakcie realizacji zamówienia czynności, o których mowa w pkt 1. Kopia umów o pracę powinna zostać zanonimizowana w sposób zapewniający ochronę danych osobowych pracowników, zgodnie z przepisami ustawy z dnia 29 sierpnia 1997 r. o ochronie danych osobowych. Informacje takie jak: data zawarcia umowy, rodzaj umowy o pracę i wymiar etatu powinny być możliwe do zidentyfikowania.</w:t>
      </w:r>
    </w:p>
    <w:p>
      <w:pPr>
        <w:pStyle w:val="ListParagraph"/>
        <w:numPr>
          <w:ilvl w:val="0"/>
          <w:numId w:val="10"/>
        </w:numPr>
        <w:jc w:val="both"/>
        <w:rPr>
          <w:szCs w:val="24"/>
        </w:rPr>
      </w:pPr>
      <w:r>
        <w:rPr>
          <w:szCs w:val="24"/>
        </w:rPr>
        <w:t>nieprzedłożenie przez Wykonawcę kopii umów zawartych przez Wykonawcę z Pracownikami świadczącymi usługi / roboty budowlane w terminie wskazanym przez Zamawiającego zgodnie z pkt 2 będzie traktowane jako niewypełnienie obowiązku zatrudnienia Pracowników świadczących usługi/roboty budowlane na podstawie umowy o pracę.</w:t>
      </w:r>
    </w:p>
    <w:p>
      <w:pPr>
        <w:pStyle w:val="ListParagraph"/>
        <w:numPr>
          <w:ilvl w:val="0"/>
          <w:numId w:val="10"/>
        </w:numPr>
        <w:jc w:val="both"/>
        <w:rPr>
          <w:szCs w:val="24"/>
        </w:rPr>
      </w:pPr>
      <w:r>
        <w:rPr>
          <w:szCs w:val="24"/>
        </w:rPr>
        <w:t>za niedopełnienie wymogu zatrudniania Pracowników świadczących usługi na podstawie umowy o pracę w rozumieniu przepisów Kodeksu Pracy, Wykonawca zapłaci Zamawiającemu kary umowne w wysokości określonej w załączonym do SIWZ wzorze umowy.</w:t>
      </w:r>
    </w:p>
    <w:p>
      <w:pPr>
        <w:pStyle w:val="Normal"/>
        <w:ind w:left="-709" w:hanging="0"/>
        <w:jc w:val="both"/>
        <w:rPr>
          <w:szCs w:val="24"/>
        </w:rPr>
      </w:pPr>
      <w:r>
        <w:rPr>
          <w:szCs w:val="24"/>
        </w:rPr>
      </w:r>
    </w:p>
    <w:p>
      <w:pPr>
        <w:pStyle w:val="ListParagraph"/>
        <w:numPr>
          <w:ilvl w:val="0"/>
          <w:numId w:val="2"/>
        </w:numPr>
        <w:jc w:val="both"/>
        <w:rPr>
          <w:szCs w:val="24"/>
        </w:rPr>
      </w:pPr>
      <w:r>
        <w:rPr>
          <w:szCs w:val="24"/>
        </w:rPr>
        <w:t>Zamawiający nie wprowadza zastrzeżenia wskazującego na obowiązek osobistego wykonania przez Wykonawcę kluczowych części zamówienia.</w:t>
      </w:r>
    </w:p>
    <w:p>
      <w:pPr>
        <w:pStyle w:val="Normal"/>
        <w:ind w:left="-709" w:hanging="0"/>
        <w:jc w:val="both"/>
        <w:rPr>
          <w:szCs w:val="24"/>
        </w:rPr>
      </w:pPr>
      <w:r>
        <w:rPr>
          <w:szCs w:val="24"/>
        </w:rPr>
      </w:r>
    </w:p>
    <w:p>
      <w:pPr>
        <w:pStyle w:val="ListParagraph"/>
        <w:numPr>
          <w:ilvl w:val="0"/>
          <w:numId w:val="2"/>
        </w:numPr>
        <w:jc w:val="both"/>
        <w:rPr>
          <w:szCs w:val="24"/>
        </w:rPr>
      </w:pPr>
      <w:r>
        <w:rPr>
          <w:szCs w:val="24"/>
        </w:rPr>
        <w:t>Zamawiający żąda wskazania przez wykonawcę części zamówienia, których wykonanie zamierza powierzyć podwykonawcom, i podania przez wykonawcę firm podwykonawców.</w:t>
      </w:r>
    </w:p>
    <w:p>
      <w:pPr>
        <w:pStyle w:val="Normal"/>
        <w:suppressAutoHyphens w:val="true"/>
        <w:overflowPunct w:val="false"/>
        <w:spacing w:lineRule="auto" w:line="259" w:before="0" w:after="160"/>
        <w:ind w:left="0" w:hanging="0"/>
        <w:textAlignment w:val="baseline"/>
        <w:rPr>
          <w:rFonts w:eastAsia="Arial Narrow"/>
          <w:kern w:val="2"/>
          <w:szCs w:val="18"/>
          <w:lang w:eastAsia="pl-PL"/>
        </w:rPr>
      </w:pPr>
      <w:r>
        <w:rPr>
          <w:rFonts w:eastAsia="Arial Narrow"/>
          <w:kern w:val="2"/>
          <w:szCs w:val="18"/>
          <w:lang w:eastAsia="pl-PL"/>
        </w:rPr>
      </w:r>
    </w:p>
    <w:p>
      <w:pPr>
        <w:pStyle w:val="Normal"/>
        <w:spacing w:lineRule="auto" w:line="276" w:before="0" w:after="120"/>
        <w:ind w:left="0" w:hanging="0"/>
        <w:jc w:val="both"/>
        <w:rPr>
          <w:szCs w:val="18"/>
        </w:rPr>
      </w:pPr>
      <w:r>
        <w:rPr>
          <w:szCs w:val="18"/>
        </w:rPr>
      </w:r>
    </w:p>
    <w:p>
      <w:pPr>
        <w:pStyle w:val="Artyku"/>
        <w:numPr>
          <w:ilvl w:val="0"/>
          <w:numId w:val="1"/>
        </w:numPr>
        <w:rPr/>
      </w:pPr>
      <w:bookmarkStart w:id="5" w:name="_Toc496698266"/>
      <w:r>
        <w:rPr/>
        <w:t>Termin wykonania zamówienia</w:t>
      </w:r>
      <w:bookmarkEnd w:id="5"/>
    </w:p>
    <w:p>
      <w:pPr>
        <w:pStyle w:val="ListParagraph"/>
        <w:widowControl w:val="false"/>
        <w:suppressAutoHyphens w:val="true"/>
        <w:overflowPunct w:val="false"/>
        <w:ind w:left="1080" w:hanging="0"/>
        <w:jc w:val="both"/>
        <w:textAlignment w:val="baseline"/>
        <w:rPr>
          <w:rFonts w:eastAsia="Times New Roman"/>
          <w:b/>
          <w:b/>
          <w:kern w:val="2"/>
          <w:szCs w:val="18"/>
          <w:lang w:eastAsia="pl-PL"/>
        </w:rPr>
      </w:pPr>
      <w:r>
        <w:rPr>
          <w:rFonts w:eastAsia="Times New Roman"/>
          <w:b/>
          <w:kern w:val="2"/>
          <w:szCs w:val="18"/>
          <w:lang w:eastAsia="pl-PL"/>
        </w:rPr>
      </w:r>
    </w:p>
    <w:p>
      <w:pPr>
        <w:pStyle w:val="Normal"/>
        <w:spacing w:lineRule="auto" w:line="276"/>
        <w:ind w:left="0" w:hanging="0"/>
        <w:jc w:val="both"/>
        <w:rPr/>
      </w:pPr>
      <w:r>
        <w:rPr>
          <w:szCs w:val="18"/>
        </w:rPr>
        <w:t xml:space="preserve">1. Termin wykonania przedmiotu umowy do: </w:t>
      </w:r>
      <w:r>
        <w:rPr>
          <w:b/>
          <w:bCs/>
          <w:color w:val="000000"/>
          <w:szCs w:val="18"/>
        </w:rPr>
        <w:t xml:space="preserve">20 listopada 2018 roku </w:t>
      </w:r>
      <w:r>
        <w:rPr>
          <w:color w:val="000000"/>
          <w:szCs w:val="18"/>
        </w:rPr>
        <w:t>.</w:t>
      </w:r>
    </w:p>
    <w:p>
      <w:pPr>
        <w:pStyle w:val="Normal"/>
        <w:spacing w:lineRule="auto" w:line="276"/>
        <w:ind w:left="0" w:hanging="0"/>
        <w:jc w:val="both"/>
        <w:rPr>
          <w:szCs w:val="18"/>
        </w:rPr>
      </w:pPr>
      <w:r>
        <w:rPr>
          <w:szCs w:val="18"/>
        </w:rPr>
        <w:t>2. Przedmiot zamówienia obejmuje także dostarczenie Zamawiającemu najpóźniej na dzień odbioru końcowego szkiców polowych geodezyjnych oraz poświadczonych datą wpływu do Starostwa Powiatowego - Wydział Geodezji, Kartografii i Nieruchomości zawiadomienie o wykonaniu zgłoszonych prac geodezyjnych, związanych z wykonaniem inwentaryzacji powykonawczej uwierzytelnionej przez Starostę Wrzesińskiego.</w:t>
      </w:r>
    </w:p>
    <w:p>
      <w:pPr>
        <w:pStyle w:val="Normal"/>
        <w:spacing w:lineRule="auto" w:line="276"/>
        <w:ind w:left="0" w:hanging="0"/>
        <w:jc w:val="both"/>
        <w:rPr>
          <w:szCs w:val="18"/>
        </w:rPr>
      </w:pPr>
      <w:r>
        <w:rPr>
          <w:szCs w:val="18"/>
        </w:rPr>
      </w:r>
    </w:p>
    <w:p>
      <w:pPr>
        <w:pStyle w:val="Normal"/>
        <w:spacing w:lineRule="auto" w:line="276"/>
        <w:ind w:left="0" w:hanging="0"/>
        <w:jc w:val="both"/>
        <w:rPr>
          <w:rFonts w:eastAsia="Calibri"/>
          <w:b/>
          <w:b/>
          <w:kern w:val="2"/>
          <w:szCs w:val="18"/>
          <w:lang w:eastAsia="pl-PL"/>
        </w:rPr>
      </w:pPr>
      <w:r>
        <w:rPr>
          <w:rFonts w:eastAsia="Calibri"/>
          <w:b/>
          <w:kern w:val="2"/>
          <w:szCs w:val="18"/>
          <w:lang w:eastAsia="pl-PL"/>
        </w:rPr>
      </w:r>
    </w:p>
    <w:p>
      <w:pPr>
        <w:pStyle w:val="Artyku"/>
        <w:numPr>
          <w:ilvl w:val="0"/>
          <w:numId w:val="1"/>
        </w:numPr>
        <w:rPr/>
      </w:pPr>
      <w:bookmarkStart w:id="6" w:name="_Toc496698267"/>
      <w:r>
        <w:rPr/>
        <w:t>Warunki udziału w postępowaniu</w:t>
      </w:r>
      <w:bookmarkEnd w:id="6"/>
    </w:p>
    <w:p>
      <w:pPr>
        <w:pStyle w:val="Normal"/>
        <w:ind w:left="360" w:hanging="0"/>
        <w:rPr>
          <w:rFonts w:eastAsia="Calibri"/>
          <w:b/>
          <w:b/>
          <w:kern w:val="2"/>
          <w:szCs w:val="18"/>
          <w:lang w:eastAsia="pl-PL"/>
        </w:rPr>
      </w:pPr>
      <w:r>
        <w:rPr>
          <w:rFonts w:eastAsia="Calibri"/>
          <w:b/>
          <w:kern w:val="2"/>
          <w:szCs w:val="18"/>
          <w:lang w:eastAsia="pl-PL"/>
        </w:rPr>
      </w:r>
    </w:p>
    <w:p>
      <w:pPr>
        <w:pStyle w:val="Normal"/>
        <w:spacing w:lineRule="auto" w:line="276" w:before="0" w:after="120"/>
        <w:ind w:left="0" w:hanging="0"/>
        <w:jc w:val="both"/>
        <w:rPr>
          <w:szCs w:val="18"/>
        </w:rPr>
      </w:pPr>
      <w:r>
        <w:rPr>
          <w:szCs w:val="18"/>
        </w:rPr>
        <w:t xml:space="preserve">1. O udzielenie zamówienia mogą ubiegać się Wykonawcy, którzy spełniają warunki o których mowa </w:t>
        <w:br/>
        <w:t>w art. 22 ust 1 ustawy Pzp i którzy wykażą ich spełnianie na poziomie wymaganym przez Zamawiającego zgodnie z opisem zamieszczonym w ust. 2 oraz niepodlegający wykluczeniu z powodu niespełniania warunków, o których mowa w art. 24 ust. 1 pkt. 12-23 oraz ust. 5 pkt. 1 i 8 ustawy .</w:t>
      </w:r>
    </w:p>
    <w:p>
      <w:pPr>
        <w:pStyle w:val="Normal"/>
        <w:spacing w:lineRule="auto" w:line="276" w:before="0" w:after="120"/>
        <w:ind w:left="0" w:hanging="0"/>
        <w:jc w:val="both"/>
        <w:rPr>
          <w:szCs w:val="18"/>
        </w:rPr>
      </w:pPr>
      <w:r>
        <w:rPr>
          <w:szCs w:val="18"/>
        </w:rPr>
        <w:t>2. O udzielenie zamówienia mogą ubiegać się Wykonawcy, którzy spełniają warunki dotyczące:</w:t>
      </w:r>
    </w:p>
    <w:p>
      <w:pPr>
        <w:pStyle w:val="Normal"/>
        <w:spacing w:lineRule="auto" w:line="276" w:before="0" w:after="120"/>
        <w:ind w:left="0" w:hanging="0"/>
        <w:jc w:val="both"/>
        <w:rPr>
          <w:szCs w:val="18"/>
        </w:rPr>
      </w:pPr>
      <w:r>
        <w:rPr>
          <w:szCs w:val="18"/>
        </w:rPr>
        <w:t xml:space="preserve">1) </w:t>
      </w:r>
      <w:r>
        <w:rPr>
          <w:b/>
          <w:bCs/>
          <w:szCs w:val="18"/>
        </w:rPr>
        <w:t xml:space="preserve">posiadania kompetencji lub uprawnień do prowadzenia określonej działalności zawodowej, o ile wynika to z odrębnych przepisów </w:t>
      </w:r>
      <w:r>
        <w:rPr>
          <w:szCs w:val="18"/>
        </w:rPr>
        <w:t xml:space="preserve">- Zamawiający odstępuje od opisu sposobu dokonania oceny spełniania warunku w tym zakresie. Zamawiający dokona oceny spełnienia warunku udziału w postępowaniu w tym zakresie na podstawie oświadczenia o spełnianiu warunków udziału w postępowaniu, o którym mowa </w:t>
        <w:br/>
        <w:t>w rozdziale VI ust. 1 pkt. 2 SIWZ;</w:t>
      </w:r>
    </w:p>
    <w:p>
      <w:pPr>
        <w:pStyle w:val="Normal"/>
        <w:spacing w:lineRule="auto" w:line="276" w:before="0" w:after="120"/>
        <w:ind w:left="0" w:hanging="0"/>
        <w:jc w:val="both"/>
        <w:rPr>
          <w:szCs w:val="18"/>
        </w:rPr>
      </w:pPr>
      <w:r>
        <w:rPr>
          <w:szCs w:val="18"/>
        </w:rPr>
        <w:t xml:space="preserve">2) </w:t>
      </w:r>
      <w:r>
        <w:rPr>
          <w:b/>
          <w:bCs/>
          <w:szCs w:val="18"/>
        </w:rPr>
        <w:t xml:space="preserve">znajdują się w sytuacji ekonomicznej lub finansowej </w:t>
      </w:r>
      <w:r>
        <w:rPr>
          <w:szCs w:val="18"/>
        </w:rPr>
        <w:t xml:space="preserve">- Zamawiający odstępuje od opisu sposobu dokonania oceny spełniania warunku w tym zakresie. Zamawiający dokona oceny spełnienia warunku udziału w postępowaniu w tym zakresie na podstawie oświadczenia o spełnianiu warunków udziału </w:t>
        <w:br/>
        <w:t>w postępowaniu, o którym mowa w rozdziale VI ust. 1 pkt. 2 SIWZ;</w:t>
      </w:r>
    </w:p>
    <w:p>
      <w:pPr>
        <w:pStyle w:val="Normal"/>
        <w:spacing w:lineRule="auto" w:line="276" w:before="0" w:after="120"/>
        <w:ind w:left="0" w:hanging="0"/>
        <w:jc w:val="both"/>
        <w:rPr>
          <w:szCs w:val="18"/>
        </w:rPr>
      </w:pPr>
      <w:r>
        <w:rPr>
          <w:szCs w:val="18"/>
        </w:rPr>
        <w:t xml:space="preserve">3) </w:t>
      </w:r>
      <w:r>
        <w:rPr>
          <w:b/>
          <w:bCs/>
          <w:szCs w:val="18"/>
        </w:rPr>
        <w:t xml:space="preserve">posiadają zdolności techniczne lub zawodowe </w:t>
      </w:r>
      <w:r>
        <w:rPr>
          <w:szCs w:val="18"/>
        </w:rPr>
        <w:t>– Zamawiający uzna warunek za spełniony, jeżeli Wykonawca wykaże, że:</w:t>
      </w:r>
    </w:p>
    <w:p>
      <w:pPr>
        <w:pStyle w:val="ListParagraph"/>
        <w:spacing w:lineRule="auto" w:line="276" w:before="0" w:after="120"/>
        <w:ind w:left="0" w:hanging="0"/>
        <w:contextualSpacing/>
        <w:jc w:val="both"/>
        <w:rPr/>
      </w:pPr>
      <w:r>
        <w:rPr>
          <w:szCs w:val="18"/>
        </w:rPr>
        <w:t xml:space="preserve">3.1) w okresie ostatnich pięciu lat przed upływem terminu składania ofert, a jeżeli okres prowadzenia działalności jest krótszy – w tym okresie </w:t>
      </w:r>
      <w:r>
        <w:rPr>
          <w:b/>
          <w:bCs/>
          <w:szCs w:val="18"/>
        </w:rPr>
        <w:t xml:space="preserve">wykonał budowę lub przebudowę dróg wraz z infrastrukturą towarzyszącą  -  o łącznej wartości robót co najmniej 1 miliona złotych brutto,  </w:t>
      </w:r>
      <w:r>
        <w:rPr>
          <w:szCs w:val="18"/>
        </w:rPr>
        <w:t>wraz z podaniem ich rodzaju, wartości, daty, miejsca wykonania i podmiotów, na rzecz których roboty te zostały wykonane, z załączeniem dowodów określających czy te roboty budowlane zostały wykonane należycie. W przypadku gdy jakakolwiek wartość dotycząca ww. warunku wyrażona będzie w walucie obcej Zamawiający przeliczy tę wartość w oparciu o średni kurs walut NBP dla danej waluty z daty wszczęcia postępowania o udzielenie zamówienia publicznego (za datę wszczęcia postępowania Zamawiający uznaje datę umieszczenia ogłoszenia o zamówienia w miejscu publicznie dostępnym w swojej siedzibie oraz na stronie internetowej). Jeżeli w tym dniu nie będzie opublikowany średni kurs NBP, Zamawiający przyjmie kurs średni z ostatniej tabeli przed wszczęciem postępowania;</w:t>
      </w:r>
    </w:p>
    <w:p>
      <w:pPr>
        <w:pStyle w:val="ListParagraph"/>
        <w:spacing w:lineRule="auto" w:line="276" w:before="120" w:after="0"/>
        <w:ind w:left="0" w:hanging="0"/>
        <w:contextualSpacing/>
        <w:jc w:val="both"/>
        <w:rPr>
          <w:sz w:val="14"/>
          <w:szCs w:val="18"/>
        </w:rPr>
      </w:pPr>
      <w:r>
        <w:rPr>
          <w:sz w:val="14"/>
          <w:szCs w:val="18"/>
        </w:rPr>
      </w:r>
    </w:p>
    <w:p>
      <w:pPr>
        <w:pStyle w:val="ListParagraph"/>
        <w:spacing w:lineRule="auto" w:line="276" w:before="120" w:after="0"/>
        <w:ind w:left="0" w:hanging="0"/>
        <w:contextualSpacing/>
        <w:jc w:val="both"/>
        <w:rPr/>
      </w:pPr>
      <w:r>
        <w:rPr>
          <w:szCs w:val="18"/>
        </w:rPr>
        <w:t xml:space="preserve">3.2) warunek ten zostanie spełniony jeśli wykonawca przedstawi, że </w:t>
      </w:r>
      <w:r>
        <w:rPr>
          <w:b/>
          <w:bCs/>
          <w:szCs w:val="18"/>
        </w:rPr>
        <w:t>dysponuje lub będzie dysponował  osobą lub  osobami posiadającymi  uprawnienia budowlane specjalności drogowej do pełnienia funkcji kierownika budowy, która pełniła funkcję kierownika budowy dla co najmniej 2 inwestycji polegających na budowie lub przebudowie drogi  .</w:t>
      </w:r>
    </w:p>
    <w:p>
      <w:pPr>
        <w:pStyle w:val="ListParagraph"/>
        <w:spacing w:lineRule="auto" w:line="276" w:before="0" w:after="120"/>
        <w:ind w:left="0" w:hanging="0"/>
        <w:contextualSpacing/>
        <w:jc w:val="both"/>
        <w:rPr>
          <w:sz w:val="14"/>
          <w:szCs w:val="18"/>
        </w:rPr>
      </w:pPr>
      <w:r>
        <w:rPr>
          <w:sz w:val="14"/>
          <w:szCs w:val="18"/>
        </w:rPr>
      </w:r>
    </w:p>
    <w:p>
      <w:pPr>
        <w:pStyle w:val="ListParagraph"/>
        <w:spacing w:lineRule="auto" w:line="276" w:before="0" w:after="120"/>
        <w:ind w:left="0" w:hanging="0"/>
        <w:contextualSpacing/>
        <w:jc w:val="both"/>
        <w:rPr>
          <w:color w:val="FF0000"/>
          <w:szCs w:val="18"/>
        </w:rPr>
      </w:pPr>
      <w:r>
        <w:rPr>
          <w:szCs w:val="18"/>
        </w:rPr>
        <w:t xml:space="preserve">3. Zgodnie z art. 22a ustawy Wykonawca może w celu potwierdzenia spełniania warunków udziału </w:t>
        <w:br/>
        <w:t xml:space="preserve">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 Zgodnie </w:t>
        <w:br/>
        <w:t xml:space="preserve">z art. 22a ust. 2 Wykonawca, który polega na zdolnościach lub sytuacji innych podmiotów musi udowodnić </w:t>
      </w:r>
    </w:p>
    <w:p>
      <w:pPr>
        <w:pStyle w:val="ListParagraph"/>
        <w:spacing w:lineRule="auto" w:line="276" w:before="0" w:after="120"/>
        <w:ind w:left="0" w:hanging="0"/>
        <w:contextualSpacing/>
        <w:jc w:val="both"/>
        <w:rPr>
          <w:b/>
          <w:b/>
          <w:bCs/>
          <w:szCs w:val="18"/>
        </w:rPr>
      </w:pPr>
      <w:r>
        <w:rPr>
          <w:szCs w:val="18"/>
        </w:rPr>
        <w:t xml:space="preserve">zamawiającemu, że realizując zamówienie, będzie dysponował niezbędnymi zasobami tych podmiotów, </w:t>
        <w:br/>
        <w:t xml:space="preserve">w szczególności przedstawiając w tym celu pisemne zobowiązanie tych podmiotów do oddania mu do dyspozycji niezbędnych zasobów na potrzeby realizacji zamówienia. Wzór zobowiązania stanowi załącznik nr 3 do SIWZ. Zobowiązanie podmiotu trzeciego o którym mowa w ust. 2 winno być złożone w </w:t>
      </w:r>
      <w:r>
        <w:rPr>
          <w:b/>
          <w:bCs/>
          <w:szCs w:val="18"/>
        </w:rPr>
        <w:t>formie oryginału.</w:t>
      </w:r>
    </w:p>
    <w:p>
      <w:pPr>
        <w:pStyle w:val="ListParagraph"/>
        <w:spacing w:lineRule="auto" w:line="276" w:before="0" w:after="120"/>
        <w:ind w:left="0" w:hanging="0"/>
        <w:contextualSpacing/>
        <w:jc w:val="both"/>
        <w:rPr>
          <w:sz w:val="14"/>
          <w:szCs w:val="18"/>
        </w:rPr>
      </w:pPr>
      <w:r>
        <w:rPr>
          <w:sz w:val="14"/>
          <w:szCs w:val="18"/>
        </w:rPr>
      </w:r>
    </w:p>
    <w:p>
      <w:pPr>
        <w:pStyle w:val="ListParagraph"/>
        <w:spacing w:lineRule="auto" w:line="276" w:before="0" w:after="120"/>
        <w:ind w:left="0" w:hanging="0"/>
        <w:contextualSpacing/>
        <w:jc w:val="both"/>
        <w:rPr>
          <w:b/>
          <w:b/>
          <w:bCs/>
          <w:szCs w:val="18"/>
        </w:rPr>
      </w:pPr>
      <w:r>
        <w:rPr>
          <w:szCs w:val="18"/>
        </w:rPr>
        <w:t xml:space="preserve">4. Zgodnie z art. 22a ust. 4 ustawy w odniesieniu do warunków dotyczących </w:t>
      </w:r>
      <w:r>
        <w:rPr>
          <w:b/>
          <w:bCs/>
          <w:szCs w:val="18"/>
        </w:rPr>
        <w:t xml:space="preserve">wykształcenia, kwalifikacji zawodowych lub doświadczenia </w:t>
      </w:r>
      <w:r>
        <w:rPr>
          <w:szCs w:val="18"/>
        </w:rPr>
        <w:t xml:space="preserve">, </w:t>
      </w:r>
      <w:r>
        <w:rPr>
          <w:b/>
          <w:bCs/>
          <w:szCs w:val="18"/>
        </w:rPr>
        <w:t>wykonawcy mogą polegać na zdolnościach innych podmiotów, jeśli podmioty te realizują roboty budowlane lub usługi, do realizacji których te zdolności są wymagane</w:t>
      </w:r>
      <w:r>
        <w:rPr>
          <w:szCs w:val="18"/>
        </w:rPr>
        <w:t>. Zgodnie z art. 22a ust. 5Wykonawca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pPr>
        <w:pStyle w:val="Normal"/>
        <w:spacing w:lineRule="auto" w:line="276" w:before="0" w:after="120"/>
        <w:ind w:left="0" w:hanging="0"/>
        <w:jc w:val="both"/>
        <w:rPr>
          <w:szCs w:val="18"/>
        </w:rPr>
      </w:pPr>
      <w:r>
        <w:rPr>
          <w:szCs w:val="18"/>
        </w:rPr>
        <w:t>5. Jeżeli zdolności techniczne lub zawodowe lub sytuacja ekonomiczna lub finansowa, podmiotu, na zasobach którego polega wykonawca, nie potwierdzają spełnienia przez wykonawcę warunków udziału w postępowaniu lub zachodzą wobec tych podmiotów podstawy wykluczenia, zamawiający żąda, aby wykonawca w terminie określonym przez zamawiającego:</w:t>
      </w:r>
    </w:p>
    <w:p>
      <w:pPr>
        <w:pStyle w:val="Normal"/>
        <w:spacing w:lineRule="auto" w:line="276" w:before="0" w:after="120"/>
        <w:ind w:left="0" w:hanging="0"/>
        <w:jc w:val="both"/>
        <w:rPr>
          <w:szCs w:val="18"/>
        </w:rPr>
      </w:pPr>
      <w:r>
        <w:rPr>
          <w:szCs w:val="18"/>
        </w:rPr>
        <w:t>a) zastąpił ten podmiot innym podmiotem lub podmiotami lub</w:t>
      </w:r>
    </w:p>
    <w:p>
      <w:pPr>
        <w:pStyle w:val="Normal"/>
        <w:spacing w:lineRule="auto" w:line="276" w:before="0" w:after="120"/>
        <w:ind w:left="0" w:hanging="0"/>
        <w:jc w:val="both"/>
        <w:rPr>
          <w:szCs w:val="18"/>
        </w:rPr>
      </w:pPr>
      <w:r>
        <w:rPr>
          <w:szCs w:val="18"/>
        </w:rPr>
        <w:t xml:space="preserve">b) zobowiązał się do osobistego wykonania odpowiedniej części zamówienia, jeżeli wykaże wymagane zdolności techniczne lub </w:t>
      </w:r>
    </w:p>
    <w:p>
      <w:pPr>
        <w:pStyle w:val="Normal"/>
        <w:spacing w:lineRule="auto" w:line="276" w:before="0" w:after="120"/>
        <w:ind w:left="0" w:hanging="0"/>
        <w:jc w:val="both"/>
        <w:rPr>
          <w:szCs w:val="18"/>
        </w:rPr>
      </w:pPr>
      <w:r>
        <w:rPr>
          <w:szCs w:val="18"/>
        </w:rPr>
        <w:t>zawodowe lub sytuację finansową lub ekonomiczną odpowiednio innych podmiotów lub własne.</w:t>
      </w:r>
    </w:p>
    <w:p>
      <w:pPr>
        <w:pStyle w:val="Normal"/>
        <w:spacing w:lineRule="auto" w:line="276" w:before="0" w:after="120"/>
        <w:ind w:left="0" w:hanging="0"/>
        <w:jc w:val="both"/>
        <w:rPr>
          <w:szCs w:val="18"/>
        </w:rPr>
      </w:pPr>
      <w:r>
        <w:rPr>
          <w:szCs w:val="18"/>
        </w:rPr>
        <w:t xml:space="preserve">6. Ocena spełniania w/w warunków dokonana zostanie zgodnie z formułą </w:t>
      </w:r>
      <w:r>
        <w:rPr>
          <w:b/>
          <w:bCs/>
          <w:szCs w:val="18"/>
        </w:rPr>
        <w:t>„spełnia / nie spełnia”</w:t>
      </w:r>
      <w:r>
        <w:rPr>
          <w:szCs w:val="18"/>
        </w:rPr>
        <w:t>, w oparciu o informacje zawarte w złożonych dokumentach. Z treści załączonych dokumentów musi wynikać jednoznacznie, iż w/w warunki Wykonawca spełnił.</w:t>
      </w:r>
    </w:p>
    <w:p>
      <w:pPr>
        <w:pStyle w:val="Artyku"/>
        <w:ind w:left="1077" w:hanging="720"/>
        <w:rPr>
          <w:kern w:val="2"/>
          <w:lang w:eastAsia="pl-PL"/>
        </w:rPr>
      </w:pPr>
      <w:bookmarkStart w:id="7" w:name="_Toc496698268"/>
      <w:r>
        <w:rPr>
          <w:kern w:val="2"/>
          <w:lang w:eastAsia="pl-PL"/>
        </w:rPr>
        <w:t>Va. Podstawy wykluczenia</w:t>
      </w:r>
      <w:bookmarkEnd w:id="7"/>
    </w:p>
    <w:p>
      <w:pPr>
        <w:pStyle w:val="Normal"/>
        <w:ind w:left="360" w:hanging="0"/>
        <w:rPr>
          <w:rFonts w:eastAsia="Calibri"/>
          <w:szCs w:val="18"/>
        </w:rPr>
      </w:pPr>
      <w:r>
        <w:rPr>
          <w:rFonts w:eastAsia="Calibri"/>
          <w:szCs w:val="18"/>
        </w:rPr>
      </w:r>
    </w:p>
    <w:p>
      <w:pPr>
        <w:pStyle w:val="Normal"/>
        <w:ind w:left="0" w:hanging="0"/>
        <w:jc w:val="both"/>
        <w:rPr/>
      </w:pPr>
      <w:r>
        <w:rPr>
          <w:rFonts w:eastAsia="Calibri"/>
          <w:szCs w:val="18"/>
        </w:rPr>
        <w:t>Obligatoryjne przesłanki wykluczenia Wykonawcy określono w art. 24 ust. 1 pkt. 12-23 oraz ust. 5 pkt. 1 i 8 ustawy Pzp.</w:t>
      </w:r>
    </w:p>
    <w:p>
      <w:pPr>
        <w:pStyle w:val="Normal"/>
        <w:ind w:left="0" w:hanging="0"/>
        <w:jc w:val="both"/>
        <w:rPr>
          <w:rFonts w:eastAsia="Calibri"/>
          <w:szCs w:val="18"/>
        </w:rPr>
      </w:pPr>
      <w:r>
        <w:rPr>
          <w:rFonts w:eastAsia="Calibri"/>
          <w:szCs w:val="18"/>
        </w:rPr>
      </w:r>
    </w:p>
    <w:p>
      <w:pPr>
        <w:pStyle w:val="Normal"/>
        <w:ind w:left="0" w:hanging="0"/>
        <w:jc w:val="both"/>
        <w:rPr>
          <w:rFonts w:eastAsia="Calibri"/>
          <w:szCs w:val="18"/>
        </w:rPr>
      </w:pPr>
      <w:r>
        <w:rPr>
          <w:rFonts w:eastAsia="Calibri"/>
          <w:szCs w:val="18"/>
        </w:rPr>
      </w:r>
    </w:p>
    <w:p>
      <w:pPr>
        <w:pStyle w:val="Normal"/>
        <w:ind w:left="360" w:hanging="0"/>
        <w:rPr>
          <w:rFonts w:eastAsia="Calibri"/>
          <w:szCs w:val="18"/>
        </w:rPr>
      </w:pPr>
      <w:r>
        <w:rPr>
          <w:rFonts w:eastAsia="Calibri"/>
          <w:szCs w:val="18"/>
        </w:rPr>
      </w:r>
    </w:p>
    <w:p>
      <w:pPr>
        <w:pStyle w:val="Artyku"/>
        <w:numPr>
          <w:ilvl w:val="0"/>
          <w:numId w:val="1"/>
        </w:numPr>
        <w:rPr/>
      </w:pPr>
      <w:bookmarkStart w:id="8" w:name="_Toc496698269"/>
      <w:r>
        <w:rPr/>
        <w:t xml:space="preserve">Wykaz dokumentów i oświadczeń, potwierdzających spełnianie warunków udziału </w:t>
        <w:br/>
        <w:t>w postępowaniu oraz brak podstaw wykluczenia</w:t>
      </w:r>
      <w:bookmarkEnd w:id="8"/>
    </w:p>
    <w:p>
      <w:pPr>
        <w:pStyle w:val="Normal"/>
        <w:ind w:left="360" w:hanging="0"/>
        <w:rPr>
          <w:rFonts w:eastAsia="Calibri"/>
          <w:b/>
          <w:b/>
          <w:szCs w:val="18"/>
        </w:rPr>
      </w:pPr>
      <w:r>
        <w:rPr>
          <w:rFonts w:eastAsia="Calibri"/>
          <w:b/>
          <w:szCs w:val="18"/>
        </w:rPr>
      </w:r>
    </w:p>
    <w:p>
      <w:pPr>
        <w:pStyle w:val="Normal"/>
        <w:spacing w:lineRule="auto" w:line="276"/>
        <w:ind w:left="0" w:hanging="0"/>
        <w:jc w:val="both"/>
        <w:rPr>
          <w:szCs w:val="24"/>
        </w:rPr>
      </w:pPr>
      <w:r>
        <w:rPr>
          <w:szCs w:val="24"/>
        </w:rPr>
        <w:t>1. Do oferty każdy wykonawca musi dołączyć:</w:t>
      </w:r>
    </w:p>
    <w:p>
      <w:pPr>
        <w:pStyle w:val="Normal"/>
        <w:spacing w:lineRule="auto" w:line="276"/>
        <w:ind w:left="0" w:hanging="0"/>
        <w:jc w:val="both"/>
        <w:rPr>
          <w:sz w:val="12"/>
          <w:szCs w:val="24"/>
        </w:rPr>
      </w:pPr>
      <w:r>
        <w:rPr>
          <w:sz w:val="12"/>
          <w:szCs w:val="24"/>
        </w:rPr>
      </w:r>
    </w:p>
    <w:p>
      <w:pPr>
        <w:pStyle w:val="Normal"/>
        <w:spacing w:lineRule="auto" w:line="276" w:before="0" w:after="120"/>
        <w:ind w:left="0" w:hanging="0"/>
        <w:jc w:val="both"/>
        <w:rPr>
          <w:szCs w:val="24"/>
        </w:rPr>
      </w:pPr>
      <w:r>
        <w:rPr>
          <w:szCs w:val="24"/>
        </w:rPr>
        <w:t xml:space="preserve">1) aktualne na dzień składania ofert oświadczenie o braku podstaw do wykluczenia – </w:t>
      </w:r>
      <w:r>
        <w:rPr>
          <w:b/>
          <w:bCs/>
          <w:szCs w:val="24"/>
        </w:rPr>
        <w:t xml:space="preserve">zał. nr 1a do SIWZ. </w:t>
      </w:r>
      <w:r>
        <w:rPr>
          <w:szCs w:val="24"/>
        </w:rPr>
        <w:t>Informacje zawarte w oświadczeniu będą stanowić wstępne potwierdzenie, że wykonawca nie podlega wykluczeniu;</w:t>
      </w:r>
    </w:p>
    <w:p>
      <w:pPr>
        <w:pStyle w:val="Normal"/>
        <w:spacing w:lineRule="auto" w:line="276" w:before="0" w:after="120"/>
        <w:ind w:left="0" w:hanging="0"/>
        <w:jc w:val="both"/>
        <w:rPr>
          <w:szCs w:val="24"/>
        </w:rPr>
      </w:pPr>
      <w:r>
        <w:rPr>
          <w:szCs w:val="24"/>
        </w:rPr>
        <w:t xml:space="preserve">2) aktualne na dzień składania ofert oświadczenie o spełnianiu warunków udziału w postępowaniu – </w:t>
        <w:br/>
      </w:r>
      <w:r>
        <w:rPr>
          <w:b/>
          <w:bCs/>
          <w:szCs w:val="24"/>
        </w:rPr>
        <w:t xml:space="preserve">zał. nr 1b do SIWZ. </w:t>
      </w:r>
      <w:r>
        <w:rPr>
          <w:szCs w:val="24"/>
        </w:rPr>
        <w:t>Informacje zawarte w oświadczeniu będą stanowić wstępne potwierdzenie, że wykonawca spełnia warunki udziału w postępowaniu;</w:t>
      </w:r>
    </w:p>
    <w:p>
      <w:pPr>
        <w:pStyle w:val="Normal"/>
        <w:spacing w:lineRule="auto" w:line="276" w:before="0" w:after="120"/>
        <w:ind w:left="0" w:hanging="0"/>
        <w:jc w:val="both"/>
        <w:rPr>
          <w:i/>
          <w:i/>
          <w:szCs w:val="24"/>
        </w:rPr>
      </w:pPr>
      <w:r>
        <w:rPr>
          <w:i/>
          <w:szCs w:val="24"/>
        </w:rPr>
        <w:t xml:space="preserve">UWAGA: W przypadku wykonawców wspólnie ubiegających się o udzielenie zamówienia oświadczenia </w:t>
        <w:br/>
        <w:t>o których mowa w ust. 1 pkt. 1 i 2 składa każdy z wykonawców osobno.</w:t>
      </w:r>
    </w:p>
    <w:p>
      <w:pPr>
        <w:pStyle w:val="Normal"/>
        <w:spacing w:lineRule="auto" w:line="276" w:before="0" w:after="120"/>
        <w:ind w:left="0" w:hanging="0"/>
        <w:jc w:val="both"/>
        <w:rPr>
          <w:szCs w:val="24"/>
        </w:rPr>
      </w:pPr>
      <w:r>
        <w:rPr>
          <w:szCs w:val="24"/>
        </w:rPr>
        <w:t>3) kosztorys ofertowy opracowany wg zaleceń SIWZ zgodnie z załączonymi przez Zamawiającego przedmiarami;</w:t>
      </w:r>
    </w:p>
    <w:p>
      <w:pPr>
        <w:pStyle w:val="Normal"/>
        <w:spacing w:lineRule="auto" w:line="276" w:before="0" w:after="120"/>
        <w:ind w:left="0" w:hanging="0"/>
        <w:jc w:val="both"/>
        <w:rPr>
          <w:szCs w:val="24"/>
        </w:rPr>
      </w:pPr>
      <w:r>
        <w:rPr>
          <w:szCs w:val="24"/>
        </w:rPr>
        <w:t xml:space="preserve">4) pełnomocnictwo lub inny dokument określający zakres umocowania do reprezentowania Wykonawcy, o ile ofertę składa pełnomocnik Wykonawcy - pełnomocnictwo zgodnie z działem VI rozdział II ustawy z dnia 23 kwietnia 1964 r. - </w:t>
      </w:r>
      <w:r>
        <w:rPr>
          <w:i/>
          <w:iCs/>
          <w:szCs w:val="24"/>
        </w:rPr>
        <w:t xml:space="preserve">Kodeks cywilny </w:t>
      </w:r>
      <w:r>
        <w:rPr>
          <w:szCs w:val="24"/>
        </w:rPr>
        <w:t>(Dz. U. Nr 16, poz. 93 z późn. zm.) winno być złożone w formie oryginału lub kopii poświadczonej notarialnie.</w:t>
      </w:r>
    </w:p>
    <w:p>
      <w:pPr>
        <w:pStyle w:val="Normal"/>
        <w:spacing w:lineRule="auto" w:line="276" w:before="0" w:after="120"/>
        <w:ind w:left="0" w:hanging="0"/>
        <w:jc w:val="both"/>
        <w:rPr>
          <w:szCs w:val="24"/>
        </w:rPr>
      </w:pPr>
      <w:r>
        <w:rPr>
          <w:szCs w:val="24"/>
        </w:rPr>
        <w:t xml:space="preserve">2. Wykonawca, który powołuje się na zasoby innych podmiotów, w celu wykazania braku istnienia wobec nich podstaw wykluczenia oraz spełniania – w zakresie, w jakim powołuje się na ich zasoby – warunków udziału w postępowaniu </w:t>
      </w:r>
      <w:r>
        <w:rPr>
          <w:b/>
          <w:bCs/>
          <w:szCs w:val="24"/>
        </w:rPr>
        <w:t>składa także oświadczenie, o którym mowa w ust. 1 pkt. 1 i 2 dotyczące tych podmiotów.</w:t>
      </w:r>
    </w:p>
    <w:p>
      <w:pPr>
        <w:pStyle w:val="Normal"/>
        <w:spacing w:lineRule="auto" w:line="276" w:before="0" w:after="120"/>
        <w:ind w:left="0" w:hanging="0"/>
        <w:jc w:val="both"/>
        <w:rPr>
          <w:szCs w:val="24"/>
        </w:rPr>
      </w:pPr>
      <w:r>
        <w:rPr>
          <w:szCs w:val="24"/>
        </w:rPr>
        <w:t xml:space="preserve">3. W przypadku o którym mowa w ust. 2 Wykonawca winien dołączyć do oferty zobowiązanie podmiotu trzeciego – </w:t>
      </w:r>
      <w:r>
        <w:rPr>
          <w:b/>
          <w:szCs w:val="24"/>
        </w:rPr>
        <w:t>zał. nr 3 do SIWZ</w:t>
      </w:r>
      <w:r>
        <w:rPr>
          <w:szCs w:val="24"/>
        </w:rPr>
        <w:t>.</w:t>
      </w:r>
    </w:p>
    <w:p>
      <w:pPr>
        <w:pStyle w:val="Normal"/>
        <w:spacing w:lineRule="auto" w:line="276" w:before="0" w:after="120"/>
        <w:ind w:left="0" w:hanging="0"/>
        <w:jc w:val="both"/>
        <w:rPr>
          <w:szCs w:val="24"/>
        </w:rPr>
      </w:pPr>
      <w:r>
        <w:rPr>
          <w:szCs w:val="24"/>
        </w:rPr>
        <w:t xml:space="preserve">4. Zamawiający przed udzieleniem zamówienia, </w:t>
      </w:r>
      <w:r>
        <w:rPr>
          <w:b/>
          <w:bCs/>
          <w:szCs w:val="24"/>
        </w:rPr>
        <w:t xml:space="preserve">wezwie </w:t>
      </w:r>
      <w:r>
        <w:rPr>
          <w:szCs w:val="24"/>
        </w:rPr>
        <w:t>Wykonawcę, którego oferta zostanie najwyżej oceniona, do złożenia w wyznaczonym, nie krótszym niż 5 dni, terminie aktualnych na dzień złożenia oświadczeń i dokumentów:</w:t>
      </w:r>
    </w:p>
    <w:p>
      <w:pPr>
        <w:pStyle w:val="Normal"/>
        <w:spacing w:lineRule="auto" w:line="276" w:before="0" w:after="120"/>
        <w:ind w:left="0" w:hanging="0"/>
        <w:jc w:val="both"/>
        <w:rPr>
          <w:szCs w:val="24"/>
        </w:rPr>
      </w:pPr>
      <w:r>
        <w:rPr>
          <w:szCs w:val="24"/>
        </w:rPr>
        <w:t>1) odpis z właściwego rejestru lub z centralnej ewidencji i informacji o działalności gospodarczej, jeżeli odrębne przepisy wymagają wpisu do rejestru lub ewidencji, w celu wykazania braku podstaw wykluczenia na podstawie art. 24 ust. 5 pkt 1 i 8 ustawy;</w:t>
      </w:r>
    </w:p>
    <w:p>
      <w:pPr>
        <w:pStyle w:val="Normal"/>
        <w:spacing w:lineRule="auto" w:line="276" w:before="0" w:after="120"/>
        <w:ind w:left="0" w:hanging="0"/>
        <w:jc w:val="both"/>
        <w:rPr>
          <w:szCs w:val="24"/>
        </w:rPr>
      </w:pPr>
      <w:r>
        <w:rPr>
          <w:szCs w:val="24"/>
        </w:rPr>
        <w:t xml:space="preserve">2) zaświadczenia właściwego naczelnika urzędu skarbowego potwierdzającego, że wykonawca nie zalega </w:t>
        <w:br/>
        <w:t xml:space="preserve">z opłacaniem podatków, </w:t>
      </w:r>
      <w:r>
        <w:rPr>
          <w:b/>
          <w:bCs/>
          <w:szCs w:val="24"/>
        </w:rPr>
        <w:t xml:space="preserve">wystawionego nie wcześniej niż 3 miesiące przed upływem terminu składania ofert </w:t>
      </w:r>
      <w:r>
        <w:rPr>
          <w:szCs w:val="24"/>
        </w:rPr>
        <w:t xml:space="preserve">lub innego dokumentu potwierdzającego, że wykonawca zawarł porozumienie z właściwym organem podatkowym w sprawie spłat tych należności wraz z ewentualnymi odsetkami lub grzywnami, </w:t>
        <w:br/>
        <w:t>w szczególności uzyskał przewidziane prawem zwolnienie, odroczenie lub rozłożenie na raty zaległych płatności lub wstrzymanie w całości wykonania decyzji właściwego organu;</w:t>
      </w:r>
    </w:p>
    <w:p>
      <w:pPr>
        <w:pStyle w:val="Normal"/>
        <w:spacing w:lineRule="auto" w:line="276" w:before="0" w:after="120"/>
        <w:ind w:left="0" w:hanging="0"/>
        <w:jc w:val="both"/>
        <w:rPr>
          <w:szCs w:val="24"/>
        </w:rPr>
      </w:pPr>
      <w:r>
        <w:rPr>
          <w:szCs w:val="24"/>
        </w:rPr>
        <w:t xml:space="preserve">3) zaświadczenia właściwej terenowej jednostki organizacyjnej Zakładu Ubezpieczeń Społecznych lub Kasy Rolniczego Ubezpieczenia Społecznego albo innego dokumentu potwierdzającego, że wykonawca nie zalega z opłacaniem składek na ubezpieczenia społeczne lub zdrowotne, </w:t>
      </w:r>
      <w:r>
        <w:rPr>
          <w:b/>
          <w:bCs/>
          <w:szCs w:val="24"/>
        </w:rPr>
        <w:t xml:space="preserve">wystawionego nie wcześniej niż 3 miesiące przed upływem terminu składania ofert </w:t>
      </w:r>
      <w:r>
        <w:rPr>
          <w:szCs w:val="24"/>
        </w:rPr>
        <w:t xml:space="preserve">lub innego dokumentu potwierdzającego, </w:t>
        <w:br/>
        <w:t xml:space="preserve">że wykonawca zawarł porozumienie z właściwym organem w sprawie spłat tych należności wraz </w:t>
        <w:br/>
        <w:t>z ewentualnymi odsetkami lub grzywnami, w szczególności uzyskał przewidziane prawem zwolnienie, odroczenie lub rozłożenie na raty zaległych płatności lub wstrzymanie w całości wykonania decyzji właściwego organu;</w:t>
      </w:r>
    </w:p>
    <w:p>
      <w:pPr>
        <w:pStyle w:val="Normal"/>
        <w:spacing w:lineRule="auto" w:line="276" w:before="0" w:after="120"/>
        <w:ind w:left="0" w:hanging="0"/>
        <w:jc w:val="both"/>
        <w:rPr>
          <w:bCs/>
          <w:i/>
          <w:i/>
          <w:szCs w:val="24"/>
        </w:rPr>
      </w:pPr>
      <w:r>
        <w:rPr>
          <w:bCs/>
          <w:i/>
          <w:szCs w:val="24"/>
        </w:rPr>
        <w:t>Uwaga dotyczy spółki cywilnej: do oferty składanej przez spółkę cywilną dołączyć należy zaświadczenia z US i ZUS wystawione dla spółki i każdego wspólnika spółki cywilnej osobno</w:t>
      </w:r>
    </w:p>
    <w:p>
      <w:pPr>
        <w:pStyle w:val="Normal"/>
        <w:spacing w:lineRule="auto" w:line="276" w:before="0" w:after="120"/>
        <w:ind w:left="0" w:hanging="0"/>
        <w:jc w:val="both"/>
        <w:rPr>
          <w:szCs w:val="24"/>
        </w:rPr>
      </w:pPr>
      <w:r>
        <w:rPr>
          <w:szCs w:val="24"/>
        </w:rPr>
        <w:t xml:space="preserve">4) wykazu robót budowlanych wykonanych nie wcześniej niż w okresie ostatnich 5 lat przed upływem terminu składania ofert, a jeżeli okres prowadzenia działalności jest krótszy – w tym okresie, wraz </w:t>
        <w:br/>
        <w:t xml:space="preserve">z podaniem ich rodzaju, wartości, daty, miejsca wykonania i podmiotów, na rzecz których roboty te zostały wykonane, z załączeniem dowodów określających czy te roboty budowlane zostały wykonane należycie, </w:t>
        <w:br/>
        <w:t xml:space="preserve">w szczególności informacji o tym czy roboty zostały wykonane zgodnie z przepisami prawa budowlanego </w:t>
        <w:br/>
        <w:t xml:space="preserve">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w:t>
      </w:r>
      <w:r>
        <w:rPr>
          <w:b/>
          <w:bCs/>
          <w:iCs/>
          <w:szCs w:val="24"/>
        </w:rPr>
        <w:t>zał. nr 1c do SIWZ</w:t>
      </w:r>
      <w:r>
        <w:rPr>
          <w:szCs w:val="24"/>
        </w:rPr>
        <w:t>;</w:t>
      </w:r>
    </w:p>
    <w:p>
      <w:pPr>
        <w:pStyle w:val="Normal"/>
        <w:spacing w:lineRule="auto" w:line="276" w:before="0" w:after="120"/>
        <w:ind w:left="0" w:hanging="0"/>
        <w:jc w:val="both"/>
        <w:rPr>
          <w:szCs w:val="24"/>
        </w:rPr>
      </w:pPr>
      <w:r>
        <w:rPr>
          <w:szCs w:val="24"/>
        </w:rPr>
        <w:t xml:space="preserve">5) wykazu osób, skierowanych przez wykonawcę do realizacji zamówienia publicznego, w szczególności odpowiedzialnych za świadczenie usług, kontrolę jakości lub kierowanie robotami budowlanymi, wraz </w:t>
        <w:br/>
        <w:t xml:space="preserve">z informacjami na temat ich kwalifikacji zawodowych, uprawnień, doświadczenia i wykształcenia niezbędnych do wykonania zamówienia publicznego, a także zakresu wykonywanych przez nie czynności oraz informacją o podstawie do dysponowania tymi osobami – </w:t>
      </w:r>
      <w:r>
        <w:rPr>
          <w:b/>
          <w:bCs/>
          <w:iCs/>
          <w:szCs w:val="24"/>
        </w:rPr>
        <w:t>zał. nr 1d do SIWZ</w:t>
      </w:r>
      <w:r>
        <w:rPr>
          <w:szCs w:val="24"/>
        </w:rPr>
        <w:t>;</w:t>
      </w:r>
    </w:p>
    <w:p>
      <w:pPr>
        <w:pStyle w:val="Normal"/>
        <w:spacing w:lineRule="auto" w:line="276" w:before="0" w:after="120"/>
        <w:ind w:left="0" w:hanging="0"/>
        <w:jc w:val="both"/>
        <w:rPr>
          <w:szCs w:val="24"/>
        </w:rPr>
      </w:pPr>
      <w:r>
        <w:rPr>
          <w:szCs w:val="24"/>
        </w:rPr>
        <w:t xml:space="preserve">5. Jeżeli Wykonawca, wskazując spełnienie warunków, o których mowa w art. 22 ust. 1 ustawy polega na zasobach innych podmiotów na zasadach określonych w art. 22a ustawy Wykonawca, o którym mowa </w:t>
        <w:br/>
        <w:t xml:space="preserve">w ust. 2 przedstawi w odniesieniu do tych podmiotów </w:t>
      </w:r>
      <w:r>
        <w:rPr>
          <w:b/>
          <w:bCs/>
          <w:szCs w:val="24"/>
        </w:rPr>
        <w:t>dokumenty o których mowa w ust. 4 pkt 1-5.</w:t>
      </w:r>
    </w:p>
    <w:p>
      <w:pPr>
        <w:pStyle w:val="Normal"/>
        <w:spacing w:lineRule="auto" w:line="276" w:before="0" w:after="120"/>
        <w:ind w:left="0" w:hanging="0"/>
        <w:jc w:val="both"/>
        <w:rPr>
          <w:szCs w:val="24"/>
        </w:rPr>
      </w:pPr>
      <w:r>
        <w:rPr>
          <w:szCs w:val="24"/>
        </w:rPr>
        <w:t xml:space="preserve">6. Jeżeli Wykonawca ma siedzibę lub miejsce zamieszkania poza terytorium Rzeczypospolitej Polskiej zamiast dokumentów, o których mowa w ust. 4: </w:t>
      </w:r>
    </w:p>
    <w:p>
      <w:pPr>
        <w:pStyle w:val="Normal"/>
        <w:spacing w:lineRule="auto" w:line="276" w:before="0" w:after="120"/>
        <w:ind w:left="0" w:hanging="0"/>
        <w:jc w:val="both"/>
        <w:rPr>
          <w:szCs w:val="24"/>
        </w:rPr>
      </w:pPr>
      <w:r>
        <w:rPr>
          <w:szCs w:val="24"/>
        </w:rPr>
        <w:t xml:space="preserve">1) pkt. 1 - składa dokument wystawiony w kraju, w którym wykonawca ma siedzibę lub miejsce zamieszkania; </w:t>
      </w:r>
    </w:p>
    <w:p>
      <w:pPr>
        <w:pStyle w:val="Normal"/>
        <w:spacing w:lineRule="auto" w:line="276" w:before="0" w:after="120"/>
        <w:ind w:left="0" w:hanging="0"/>
        <w:jc w:val="both"/>
        <w:rPr>
          <w:szCs w:val="24"/>
        </w:rPr>
      </w:pPr>
      <w:r>
        <w:rPr>
          <w:szCs w:val="24"/>
        </w:rPr>
        <w:t>2) pkt. 2 i 3 – składa dokument lub dokumenty wystawione w kraju , w którym wykonawca ma siedzibę lub miejsce zamieszkania potwierdzające , że ;</w:t>
      </w:r>
    </w:p>
    <w:p>
      <w:pPr>
        <w:pStyle w:val="Normal"/>
        <w:spacing w:lineRule="auto" w:line="276" w:before="0" w:after="120"/>
        <w:ind w:left="0" w:hanging="0"/>
        <w:jc w:val="both"/>
        <w:rPr>
          <w:szCs w:val="24"/>
        </w:rPr>
      </w:pPr>
      <w:r>
        <w:rPr>
          <w:szCs w:val="24"/>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pPr>
        <w:pStyle w:val="Normal"/>
        <w:spacing w:lineRule="auto" w:line="276" w:before="0" w:after="120"/>
        <w:ind w:left="0" w:hanging="0"/>
        <w:jc w:val="both"/>
        <w:rPr>
          <w:szCs w:val="24"/>
        </w:rPr>
      </w:pPr>
      <w:r>
        <w:rPr>
          <w:szCs w:val="24"/>
        </w:rPr>
        <w:t>b) nie otwarto jego likwidacji ani nie ogłoszono upadłości.</w:t>
      </w:r>
    </w:p>
    <w:p>
      <w:pPr>
        <w:pStyle w:val="Normal"/>
        <w:spacing w:lineRule="auto" w:line="276" w:before="0" w:after="120"/>
        <w:ind w:left="0" w:hanging="0"/>
        <w:jc w:val="both"/>
        <w:rPr>
          <w:szCs w:val="24"/>
        </w:rPr>
      </w:pPr>
      <w:r>
        <w:rPr>
          <w:szCs w:val="24"/>
        </w:rPr>
        <w:t>7. Dokumenty, o których mowa w ust. 6 pkt. 1 i pkt. 2 litera b, powinny być wystawione nie wcześniej niż 6 miesięcy przed upływem terminu składania ofert. Dokumenty, o których mowa w ust. 6 pkt. 2 litera a powinny być wystawione nie wcześniej niż 3 miesiące przed upływem terminu składania ofert.</w:t>
      </w:r>
    </w:p>
    <w:p>
      <w:pPr>
        <w:pStyle w:val="Normal"/>
        <w:spacing w:lineRule="auto" w:line="276" w:before="0" w:after="120"/>
        <w:ind w:left="0" w:hanging="0"/>
        <w:jc w:val="both"/>
        <w:rPr>
          <w:szCs w:val="24"/>
        </w:rPr>
      </w:pPr>
      <w:r>
        <w:rPr>
          <w:szCs w:val="24"/>
        </w:rPr>
        <w:t>8. Jeżeli w kraju, w którym wykonawca ma siedzibę lub miejsce zamieszkania lub miejsce zamieszkania ma osoba, której dokument dotyczy, nie wydaje się dokumentów, o których mowa w ust. 6,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ust. 7 stosuje się.</w:t>
      </w:r>
    </w:p>
    <w:p>
      <w:pPr>
        <w:pStyle w:val="Normal"/>
        <w:spacing w:lineRule="auto" w:line="276" w:before="0" w:after="120"/>
        <w:ind w:left="0" w:hanging="0"/>
        <w:jc w:val="both"/>
        <w:rPr>
          <w:szCs w:val="24"/>
        </w:rPr>
      </w:pPr>
      <w:r>
        <w:rPr>
          <w:szCs w:val="24"/>
        </w:rPr>
        <w:t>9. W przypadku wątpliwości co do treści dokumentu złożonego przez wykonawcę, zamawiający może zwrócić się do właściwych organów odpowiedniego kraju, w którym wykonawca ma siedzibę lub miejsce zamieszkania lub miejsce zamieszkania ma osoba, której dokument dotyczy, o udzielenie niezbędnych informacji dotyczących tego dokumentu.</w:t>
      </w:r>
    </w:p>
    <w:p>
      <w:pPr>
        <w:pStyle w:val="Normal"/>
        <w:spacing w:lineRule="auto" w:line="276" w:before="0" w:after="120"/>
        <w:ind w:left="0" w:hanging="0"/>
        <w:jc w:val="both"/>
        <w:rPr>
          <w:szCs w:val="24"/>
        </w:rPr>
      </w:pPr>
      <w:r>
        <w:rPr>
          <w:szCs w:val="24"/>
        </w:rPr>
        <w:t xml:space="preserve">10. Wykonawca mający siedzibę na terytorium Rzeczypospolitej Polskiej, w odniesieniu do osoby mającej miejsce zamieszkania poza terytorium Rzeczypospolitej Polskiej, której dotyczy dokument wskazany </w:t>
        <w:br/>
        <w:t>w ust. 4 pkt. 1, składa dokument, o którym mowa w ust. 6 pkt. 1, w zakresie określonym w art. 24 ust. 1 pkt. 14 i 21.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ust. 5 zdanie pierwsze stosuje się.</w:t>
      </w:r>
    </w:p>
    <w:p>
      <w:pPr>
        <w:pStyle w:val="Normal"/>
        <w:spacing w:lineRule="auto" w:line="276" w:before="0" w:after="120"/>
        <w:ind w:left="0" w:hanging="0"/>
        <w:jc w:val="both"/>
        <w:rPr>
          <w:szCs w:val="24"/>
        </w:rPr>
      </w:pPr>
      <w:r>
        <w:rPr>
          <w:szCs w:val="24"/>
        </w:rPr>
        <w:t>11. W przypadku wątpliwości co do treści dokumentu złożonego przez wykonawcę, zamawiający może zwrócić się do właściwych organów odpowiedniego kraju, w którym wykonawca ma siedzibę lub miejsce zamieszkania lub miejsce zamieszkania ma osoba, której dokument dotyczy, o udzielenie niezbędnych informacji dotyczących tego dokumentu.</w:t>
      </w:r>
    </w:p>
    <w:p>
      <w:pPr>
        <w:pStyle w:val="Normal"/>
        <w:spacing w:lineRule="auto" w:line="276" w:before="0" w:after="120"/>
        <w:ind w:left="0" w:hanging="0"/>
        <w:jc w:val="both"/>
        <w:rPr>
          <w:szCs w:val="24"/>
        </w:rPr>
      </w:pPr>
      <w:r>
        <w:rPr>
          <w:szCs w:val="24"/>
        </w:rPr>
        <w:t xml:space="preserve">12. Na podstawie art. 26 ust. 6 ustawy Wykonawca nie jest obowiązany do złożenia oświadczeń lub dokumentów potwierdzających okoliczności, o których mowa w art. 25 ust. 1 pkt. 1 i 3, jeżeli zamawiający posiada oświadczenia lub dokumenty dotyczące tego wykonawcy lub może je uzyskać za pomocą bezpłatnych i ogólnodostępnych baz danych, w szczególności rejestrów publicznych w rozumieniu ustawy </w:t>
        <w:br/>
        <w:t>z dnia 17 lutego 2005 r. o informatyzacji działalności podmiotów realizujących zadania publiczne.</w:t>
      </w:r>
    </w:p>
    <w:p>
      <w:pPr>
        <w:pStyle w:val="Normal"/>
        <w:spacing w:lineRule="auto" w:line="276" w:before="0" w:after="120"/>
        <w:ind w:left="0" w:hanging="0"/>
        <w:jc w:val="both"/>
        <w:rPr>
          <w:szCs w:val="24"/>
        </w:rPr>
      </w:pPr>
      <w:r>
        <w:rPr>
          <w:szCs w:val="24"/>
        </w:rPr>
        <w:t xml:space="preserve">13. Jeżeli jest to niezbędne do zapewnienia prawidłowego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lub kryteria selekcji, a jeżeli zachodzą uzasadnione podstawy do uznania, </w:t>
        <w:br/>
        <w:t>że złożone uprzednio oświadczenia lub dokumenty nie są już aktualne, do złożenia aktualnych oświadczeń lub dokumentów.</w:t>
      </w:r>
    </w:p>
    <w:p>
      <w:pPr>
        <w:pStyle w:val="Normal"/>
        <w:spacing w:lineRule="auto" w:line="276" w:before="0" w:after="120"/>
        <w:ind w:left="0" w:hanging="0"/>
        <w:jc w:val="both"/>
        <w:rPr>
          <w:b/>
          <w:b/>
          <w:bCs/>
          <w:szCs w:val="24"/>
        </w:rPr>
      </w:pPr>
      <w:r>
        <w:rPr>
          <w:szCs w:val="24"/>
        </w:rPr>
        <w:t xml:space="preserve">14. Wykonawca </w:t>
      </w:r>
      <w:r>
        <w:rPr>
          <w:b/>
          <w:bCs/>
          <w:szCs w:val="24"/>
        </w:rPr>
        <w:t>w terminie 3 dni od dnia zamieszczenia na stronie internetowej informacji, o której mowa w art. 86 ust. 5 ustawy Pzp</w:t>
      </w:r>
      <w:r>
        <w:rPr>
          <w:szCs w:val="24"/>
        </w:rPr>
        <w:t xml:space="preserve">, przekaże Zamawiającemu </w:t>
      </w:r>
      <w:r>
        <w:rPr>
          <w:b/>
          <w:bCs/>
          <w:szCs w:val="24"/>
        </w:rPr>
        <w:t>oświadczenie o przynależności lub braku przynależności do tej samej grupy kapitałowej, o której mowa w art. 24 ust. 1 pkt. 23 ustawy Pzp</w:t>
      </w:r>
      <w:r>
        <w:rPr>
          <w:szCs w:val="24"/>
        </w:rPr>
        <w:t>. Wraz ze złożeniem oświadczenia(</w:t>
      </w:r>
      <w:r>
        <w:rPr>
          <w:b/>
          <w:szCs w:val="24"/>
        </w:rPr>
        <w:t>zał. nr 1e do SIWZ</w:t>
      </w:r>
      <w:r>
        <w:rPr>
          <w:szCs w:val="24"/>
        </w:rPr>
        <w:t xml:space="preserve">). Wykonawca może przedstawić dowody, </w:t>
        <w:br/>
        <w:t>że powiązania z innym wykonawcą nie prowadzą do zakłócenia konkurencji wpostępowaniu o udzielenie zamówienia.</w:t>
      </w:r>
    </w:p>
    <w:p>
      <w:pPr>
        <w:pStyle w:val="Normal"/>
        <w:spacing w:lineRule="auto" w:line="276" w:before="0" w:after="120"/>
        <w:ind w:left="0" w:hanging="0"/>
        <w:jc w:val="both"/>
        <w:rPr>
          <w:szCs w:val="24"/>
        </w:rPr>
      </w:pPr>
      <w:r>
        <w:rPr>
          <w:szCs w:val="24"/>
        </w:rPr>
        <w:t>15. Wyżej wymienione dokumenty mogą być złożone w formie oryginałów lub kserokopii potwierdzonych za zgodność przez Wykonawcę z dopiskiem "za zgodność z oryginałem" i opatrzone datą ich potwierdzenia natomiast oświadczenia woli winny zostać złożone w formie oryginału. Dokumenty sporządzone w języku obcym są składane wraz z tłumaczeniem na język polski, poświadczonym przez Wykonawcę.</w:t>
      </w:r>
    </w:p>
    <w:p>
      <w:pPr>
        <w:pStyle w:val="Artyku"/>
        <w:numPr>
          <w:ilvl w:val="0"/>
          <w:numId w:val="1"/>
        </w:numPr>
        <w:rPr/>
      </w:pPr>
      <w:bookmarkStart w:id="9" w:name="_Toc496698270"/>
      <w:r>
        <w:rPr/>
        <w:t xml:space="preserve">Informacja o sposobie porozumiewania się zamawiającego z wykonawcami oraz przekazywania oświadczeń i dokumentów oraz osoby uprawnione do porozumiewania się </w:t>
        <w:br/>
        <w:t>z wykonawcami</w:t>
      </w:r>
      <w:bookmarkEnd w:id="9"/>
    </w:p>
    <w:p>
      <w:pPr>
        <w:pStyle w:val="Normal"/>
        <w:spacing w:lineRule="auto" w:line="252"/>
        <w:ind w:left="0" w:hanging="0"/>
        <w:jc w:val="both"/>
        <w:rPr>
          <w:rFonts w:eastAsia="Calibri"/>
          <w:b/>
          <w:b/>
          <w:bCs/>
          <w:szCs w:val="18"/>
        </w:rPr>
      </w:pPr>
      <w:r>
        <w:rPr>
          <w:rFonts w:eastAsia="Calibri"/>
          <w:b/>
          <w:bCs/>
          <w:szCs w:val="18"/>
        </w:rPr>
      </w:r>
    </w:p>
    <w:p>
      <w:pPr>
        <w:pStyle w:val="Normal"/>
        <w:spacing w:lineRule="auto" w:line="276"/>
        <w:ind w:left="0" w:hanging="0"/>
        <w:jc w:val="both"/>
        <w:rPr>
          <w:szCs w:val="24"/>
        </w:rPr>
      </w:pPr>
      <w:r>
        <w:rPr>
          <w:szCs w:val="24"/>
        </w:rPr>
        <w:t xml:space="preserve">1. W postępowaniu o udzielenie zamówienia oświadczenia, wnioski, zawiadomienia oraz informacje Zamawiający i Wykonawcy przekazują pisemnie na adres Zamawiającego. </w:t>
      </w:r>
      <w:r>
        <w:rPr>
          <w:rFonts w:eastAsia="Calibri"/>
          <w:szCs w:val="18"/>
        </w:rPr>
        <w:t>Pytania i wszelka korespondencja powinna być skierowane na adres siedziby Zamawiającego</w:t>
      </w:r>
      <w:r>
        <w:rPr>
          <w:szCs w:val="24"/>
        </w:rPr>
        <w:t xml:space="preserve">. Zamawiający dopuszcza porozumiewanie się faksem pod numerem </w:t>
      </w:r>
    </w:p>
    <w:p>
      <w:pPr>
        <w:pStyle w:val="Normal"/>
        <w:spacing w:lineRule="auto" w:line="276"/>
        <w:ind w:left="0" w:hanging="0"/>
        <w:jc w:val="both"/>
        <w:rPr/>
      </w:pPr>
      <w:r>
        <w:rPr>
          <w:b/>
          <w:bCs/>
          <w:szCs w:val="24"/>
        </w:rPr>
        <w:t xml:space="preserve">(61) 438 30 51 </w:t>
      </w:r>
      <w:r>
        <w:rPr>
          <w:szCs w:val="24"/>
        </w:rPr>
        <w:t xml:space="preserve">lub drogą elektroniczną </w:t>
      </w:r>
      <w:r>
        <w:rPr>
          <w:rFonts w:eastAsia="Times New Roman"/>
          <w:szCs w:val="24"/>
          <w:lang w:eastAsia="zh-CN"/>
        </w:rPr>
        <w:t>:</w:t>
      </w:r>
      <w:r>
        <w:rPr>
          <w:rFonts w:eastAsia="Times New Roman"/>
          <w:color w:val="000000"/>
          <w:szCs w:val="24"/>
          <w:lang w:eastAsia="zh-CN"/>
        </w:rPr>
        <w:t xml:space="preserve"> </w:t>
      </w:r>
      <w:hyperlink r:id="rId4">
        <w:r>
          <w:rPr>
            <w:rStyle w:val="Czeinternetowe"/>
            <w:rFonts w:eastAsia="Times New Roman"/>
            <w:b/>
            <w:color w:val="000000"/>
            <w:szCs w:val="24"/>
            <w:u w:val="none"/>
            <w:lang w:eastAsia="zh-CN"/>
          </w:rPr>
          <w:t>przetargi@miloslaw.info.pl</w:t>
        </w:r>
      </w:hyperlink>
      <w:r>
        <w:rPr>
          <w:rFonts w:eastAsia="Times New Roman"/>
          <w:color w:val="000000"/>
          <w:szCs w:val="24"/>
          <w:lang w:eastAsia="zh-CN"/>
        </w:rPr>
        <w:t xml:space="preserve"> </w:t>
      </w:r>
    </w:p>
    <w:p>
      <w:pPr>
        <w:pStyle w:val="Normal"/>
        <w:ind w:left="0" w:hanging="0"/>
        <w:jc w:val="both"/>
        <w:rPr>
          <w:sz w:val="14"/>
          <w:szCs w:val="24"/>
        </w:rPr>
      </w:pPr>
      <w:r>
        <w:rPr>
          <w:sz w:val="14"/>
          <w:szCs w:val="24"/>
        </w:rPr>
      </w:r>
    </w:p>
    <w:p>
      <w:pPr>
        <w:pStyle w:val="Normal"/>
        <w:spacing w:lineRule="auto" w:line="276"/>
        <w:ind w:left="0" w:hanging="0"/>
        <w:jc w:val="both"/>
        <w:rPr>
          <w:rFonts w:eastAsia="Calibri"/>
          <w:szCs w:val="18"/>
        </w:rPr>
      </w:pPr>
      <w:r>
        <w:rPr>
          <w:szCs w:val="24"/>
        </w:rPr>
        <w:t xml:space="preserve">2. </w:t>
      </w:r>
      <w:r>
        <w:rPr>
          <w:rFonts w:eastAsia="Calibri"/>
          <w:szCs w:val="18"/>
        </w:rPr>
        <w:t>Osobami ze strony zamawiającego upoważnionymi do kontaktowania się z wykonawcami są:</w:t>
      </w:r>
    </w:p>
    <w:p>
      <w:pPr>
        <w:pStyle w:val="Normal"/>
        <w:spacing w:lineRule="auto" w:line="276"/>
        <w:ind w:left="284" w:hanging="0"/>
        <w:jc w:val="both"/>
        <w:rPr>
          <w:rFonts w:eastAsia="Calibri"/>
          <w:szCs w:val="18"/>
        </w:rPr>
      </w:pPr>
      <w:r>
        <w:rPr>
          <w:rFonts w:eastAsia="Calibri"/>
          <w:szCs w:val="18"/>
        </w:rPr>
        <w:t xml:space="preserve">- sprawy merytoryczne – Błażej Pera (61) 438 37 37 </w:t>
      </w:r>
    </w:p>
    <w:p>
      <w:pPr>
        <w:pStyle w:val="Normal"/>
        <w:spacing w:lineRule="auto" w:line="276"/>
        <w:ind w:left="284" w:hanging="0"/>
        <w:jc w:val="both"/>
        <w:rPr/>
      </w:pPr>
      <w:r>
        <w:rPr>
          <w:rFonts w:eastAsia="Calibri"/>
          <w:szCs w:val="18"/>
        </w:rPr>
        <w:t>-</w:t>
      </w:r>
      <w:r>
        <w:rPr>
          <w:rFonts w:eastAsia="Calibri"/>
          <w:color w:val="CE181E"/>
          <w:szCs w:val="18"/>
        </w:rPr>
        <w:t xml:space="preserve"> </w:t>
      </w:r>
      <w:r>
        <w:rPr>
          <w:rFonts w:eastAsia="Calibri"/>
          <w:color w:val="000000"/>
          <w:szCs w:val="18"/>
        </w:rPr>
        <w:t>sprawy proceduralne – Stefania Przybylska (61) 438 37 29</w:t>
      </w:r>
    </w:p>
    <w:p>
      <w:pPr>
        <w:pStyle w:val="Normal"/>
        <w:spacing w:lineRule="auto" w:line="276"/>
        <w:ind w:left="0" w:hanging="0"/>
        <w:jc w:val="both"/>
        <w:rPr>
          <w:rFonts w:eastAsia="Calibri"/>
          <w:color w:val="FF0000"/>
          <w:sz w:val="14"/>
          <w:szCs w:val="18"/>
        </w:rPr>
      </w:pPr>
      <w:r>
        <w:rPr>
          <w:rFonts w:eastAsia="Calibri"/>
          <w:color w:val="FF0000"/>
          <w:sz w:val="14"/>
          <w:szCs w:val="18"/>
        </w:rPr>
      </w:r>
    </w:p>
    <w:p>
      <w:pPr>
        <w:pStyle w:val="Normal"/>
        <w:spacing w:lineRule="auto" w:line="276"/>
        <w:ind w:left="0" w:hanging="0"/>
        <w:jc w:val="both"/>
        <w:rPr>
          <w:rFonts w:eastAsia="Calibri"/>
          <w:color w:val="FF0000"/>
          <w:szCs w:val="18"/>
        </w:rPr>
      </w:pPr>
      <w:r>
        <w:rPr>
          <w:szCs w:val="24"/>
        </w:rPr>
        <w:t xml:space="preserve">3. Wykonawca na podstawie art. 38 ustawy może zwrócić się do Zamawiającego o wyjaśnienie treści specyfikacji istotnych warunków zamówienia. </w:t>
      </w:r>
    </w:p>
    <w:p>
      <w:pPr>
        <w:pStyle w:val="Normal"/>
        <w:spacing w:lineRule="auto" w:line="276"/>
        <w:ind w:left="0" w:hanging="0"/>
        <w:jc w:val="both"/>
        <w:rPr>
          <w:sz w:val="14"/>
          <w:szCs w:val="24"/>
        </w:rPr>
      </w:pPr>
      <w:r>
        <w:rPr>
          <w:sz w:val="14"/>
          <w:szCs w:val="24"/>
        </w:rPr>
      </w:r>
    </w:p>
    <w:p>
      <w:pPr>
        <w:pStyle w:val="Normal"/>
        <w:spacing w:lineRule="auto" w:line="276"/>
        <w:ind w:left="0" w:hanging="0"/>
        <w:jc w:val="both"/>
        <w:rPr>
          <w:szCs w:val="24"/>
        </w:rPr>
      </w:pPr>
      <w:r>
        <w:rPr>
          <w:szCs w:val="24"/>
        </w:rPr>
        <w:t>4. Treść zapytań wraz z wyjaśnieniami Zamawiający przekaże Wykonawcom oraz udostępni na stronie  internetowej Zamawiającego .</w:t>
      </w:r>
    </w:p>
    <w:p>
      <w:pPr>
        <w:pStyle w:val="Normal"/>
        <w:spacing w:lineRule="auto" w:line="252"/>
        <w:ind w:left="0" w:hanging="0"/>
        <w:jc w:val="both"/>
        <w:rPr>
          <w:rFonts w:eastAsia="Calibri"/>
          <w:b/>
          <w:b/>
          <w:bCs/>
          <w:szCs w:val="18"/>
        </w:rPr>
      </w:pPr>
      <w:r>
        <w:rPr>
          <w:rFonts w:eastAsia="Calibri"/>
          <w:b/>
          <w:bCs/>
          <w:szCs w:val="18"/>
        </w:rPr>
      </w:r>
    </w:p>
    <w:p>
      <w:pPr>
        <w:pStyle w:val="Artyku"/>
        <w:numPr>
          <w:ilvl w:val="0"/>
          <w:numId w:val="1"/>
        </w:numPr>
        <w:rPr/>
      </w:pPr>
      <w:bookmarkStart w:id="10" w:name="_Toc496698271"/>
      <w:r>
        <w:rPr/>
        <w:t>Informacja na temat wadium</w:t>
      </w:r>
      <w:bookmarkEnd w:id="10"/>
    </w:p>
    <w:p>
      <w:pPr>
        <w:pStyle w:val="Artyku"/>
        <w:ind w:left="1077" w:hanging="227"/>
        <w:rPr/>
      </w:pPr>
      <w:r>
        <w:rPr/>
      </w:r>
    </w:p>
    <w:p>
      <w:pPr>
        <w:pStyle w:val="Normal"/>
        <w:spacing w:lineRule="auto" w:line="276" w:before="0" w:after="120"/>
        <w:ind w:left="0" w:hanging="0"/>
        <w:jc w:val="both"/>
        <w:rPr/>
      </w:pPr>
      <w:r>
        <w:rPr>
          <w:szCs w:val="24"/>
        </w:rPr>
        <w:t xml:space="preserve">1. Wykonawca w terminie </w:t>
      </w:r>
      <w:r>
        <w:rPr>
          <w:b/>
          <w:bCs/>
          <w:szCs w:val="24"/>
        </w:rPr>
        <w:t xml:space="preserve">do upływu terminu składania ofert </w:t>
      </w:r>
      <w:r>
        <w:rPr>
          <w:szCs w:val="24"/>
        </w:rPr>
        <w:t>wniesie wadium w wysokości:</w:t>
        <w:br/>
      </w:r>
      <w:r>
        <w:rPr>
          <w:b/>
          <w:bCs/>
          <w:szCs w:val="24"/>
        </w:rPr>
        <w:t>1</w:t>
      </w:r>
      <w:r>
        <w:rPr>
          <w:b/>
          <w:szCs w:val="24"/>
        </w:rPr>
        <w:t>0</w:t>
      </w:r>
      <w:r>
        <w:rPr>
          <w:b/>
          <w:bCs/>
          <w:szCs w:val="24"/>
        </w:rPr>
        <w:t xml:space="preserve">.000 złotych </w:t>
      </w:r>
      <w:r>
        <w:rPr>
          <w:szCs w:val="24"/>
        </w:rPr>
        <w:t>(słownie: dziesięć tysięcy złotych).</w:t>
      </w:r>
    </w:p>
    <w:p>
      <w:pPr>
        <w:pStyle w:val="Normal"/>
        <w:spacing w:lineRule="auto" w:line="276"/>
        <w:ind w:left="0" w:hanging="0"/>
        <w:jc w:val="both"/>
        <w:rPr>
          <w:szCs w:val="24"/>
        </w:rPr>
      </w:pPr>
      <w:r>
        <w:rPr>
          <w:szCs w:val="24"/>
        </w:rPr>
        <w:t>2. Wadium może być wnoszone w jednej lub kilku formach:</w:t>
      </w:r>
    </w:p>
    <w:p>
      <w:pPr>
        <w:pStyle w:val="ListParagraph"/>
        <w:numPr>
          <w:ilvl w:val="0"/>
          <w:numId w:val="8"/>
        </w:numPr>
        <w:spacing w:lineRule="auto" w:line="276"/>
        <w:jc w:val="both"/>
        <w:rPr>
          <w:szCs w:val="24"/>
        </w:rPr>
      </w:pPr>
      <w:r>
        <w:rPr>
          <w:szCs w:val="24"/>
        </w:rPr>
        <w:t>pieniądza,</w:t>
      </w:r>
    </w:p>
    <w:p>
      <w:pPr>
        <w:pStyle w:val="ListParagraph"/>
        <w:numPr>
          <w:ilvl w:val="0"/>
          <w:numId w:val="8"/>
        </w:numPr>
        <w:spacing w:lineRule="auto" w:line="276"/>
        <w:jc w:val="both"/>
        <w:rPr>
          <w:szCs w:val="24"/>
        </w:rPr>
      </w:pPr>
      <w:r>
        <w:rPr>
          <w:szCs w:val="24"/>
        </w:rPr>
        <w:t>poręczeniach bankowych lub poręczeniach spółdzielczej kasy oszczędnościowo – kredytowej, z tym że poręczenie kasy musi być zawsze poręczeniem pieniężnym,</w:t>
      </w:r>
    </w:p>
    <w:p>
      <w:pPr>
        <w:pStyle w:val="ListParagraph"/>
        <w:numPr>
          <w:ilvl w:val="0"/>
          <w:numId w:val="8"/>
        </w:numPr>
        <w:spacing w:lineRule="auto" w:line="276"/>
        <w:jc w:val="both"/>
        <w:rPr>
          <w:szCs w:val="24"/>
        </w:rPr>
      </w:pPr>
      <w:r>
        <w:rPr>
          <w:szCs w:val="24"/>
        </w:rPr>
        <w:t>gwarancjach bankowych,</w:t>
      </w:r>
    </w:p>
    <w:p>
      <w:pPr>
        <w:pStyle w:val="ListParagraph"/>
        <w:numPr>
          <w:ilvl w:val="0"/>
          <w:numId w:val="8"/>
        </w:numPr>
        <w:spacing w:lineRule="auto" w:line="276"/>
        <w:jc w:val="both"/>
        <w:rPr>
          <w:szCs w:val="24"/>
        </w:rPr>
      </w:pPr>
      <w:r>
        <w:rPr>
          <w:szCs w:val="24"/>
        </w:rPr>
        <w:t>gwarancjach ubezpieczeniowych,</w:t>
      </w:r>
    </w:p>
    <w:p>
      <w:pPr>
        <w:pStyle w:val="ListParagraph"/>
        <w:numPr>
          <w:ilvl w:val="0"/>
          <w:numId w:val="8"/>
        </w:numPr>
        <w:spacing w:lineRule="auto" w:line="276" w:before="0" w:after="120"/>
        <w:contextualSpacing/>
        <w:jc w:val="both"/>
        <w:rPr>
          <w:szCs w:val="24"/>
        </w:rPr>
      </w:pPr>
      <w:r>
        <w:rPr>
          <w:szCs w:val="24"/>
        </w:rPr>
        <w:t>poręczeniach udzielonych przez podmioty, o których mowa w art. 6b ust. 5 pkt. 2 ustawy z 9.11.2000 r. o utworzeniu PARP (Dz. U. Nr 109 poz. 1158 wraz z późniejszymi zmianami).</w:t>
      </w:r>
    </w:p>
    <w:p>
      <w:pPr>
        <w:pStyle w:val="Normal"/>
        <w:spacing w:lineRule="auto" w:line="276"/>
        <w:ind w:left="0" w:hanging="0"/>
        <w:jc w:val="both"/>
        <w:rPr>
          <w:szCs w:val="24"/>
        </w:rPr>
      </w:pPr>
      <w:r>
        <w:rPr>
          <w:szCs w:val="24"/>
        </w:rPr>
        <w:t xml:space="preserve">3. Wadium wnoszone w pieniądzu należy wpłacić przelewem na rachunek bankowy zamawiającego </w:t>
        <w:br/>
        <w:t xml:space="preserve">w Powiatowy Bank Spółdzielczy we Wrześni oddział Miłosław – 33 9681 0002 2200 0202 0001 6290 </w:t>
        <w:br/>
      </w:r>
      <w:r>
        <w:rPr>
          <w:b/>
          <w:bCs/>
          <w:szCs w:val="24"/>
        </w:rPr>
        <w:t xml:space="preserve">do upływu terminu składania ofert </w:t>
      </w:r>
      <w:r>
        <w:rPr>
          <w:szCs w:val="24"/>
        </w:rPr>
        <w:t>w tytule przelewu należy podać nazwę Wykonawcy oraz nr sprawy.</w:t>
      </w:r>
    </w:p>
    <w:p>
      <w:pPr>
        <w:pStyle w:val="Normal"/>
        <w:spacing w:lineRule="auto" w:line="276"/>
        <w:ind w:left="0" w:hanging="0"/>
        <w:jc w:val="both"/>
        <w:rPr>
          <w:b/>
          <w:b/>
          <w:bCs/>
          <w:szCs w:val="24"/>
        </w:rPr>
      </w:pPr>
      <w:r>
        <w:rPr>
          <w:b/>
          <w:bCs/>
          <w:szCs w:val="24"/>
        </w:rPr>
      </w:r>
    </w:p>
    <w:p>
      <w:pPr>
        <w:pStyle w:val="Normal"/>
        <w:spacing w:lineRule="auto" w:line="276" w:before="0" w:after="120"/>
        <w:ind w:left="0" w:hanging="0"/>
        <w:jc w:val="both"/>
        <w:rPr>
          <w:bCs/>
          <w:i/>
          <w:i/>
          <w:szCs w:val="24"/>
        </w:rPr>
      </w:pPr>
      <w:r>
        <w:rPr>
          <w:bCs/>
          <w:i/>
          <w:szCs w:val="24"/>
        </w:rPr>
        <w:t xml:space="preserve">UWAGA: </w:t>
      </w:r>
      <w:r>
        <w:rPr>
          <w:i/>
          <w:szCs w:val="24"/>
        </w:rPr>
        <w:t>Wadium w pieniądzu należy wnosić ściśle z dyspozycją art. 45 ust. 7 ustawy Prawo zamówień publicznych, tzn. „przelewem na rachunek bankowy wskazany przez zamawiającego”. W myśl art. 63. ust. 3 pkt.1 ustawy Prawo bankowe z dnia 29 sierpnia 1997 (t.j. Dz. U z 2002 Nr 72 poz. 665) polecenie przelewu jest jedną z form rozliczenia bezgotówkowego. Zgodnie z art. 63c Prawa bankowego polecenie przelewu stanowi udzieloną bankowi dyspozycję dłużnika obciążenia jego rachunku określoną kwotą i uznania tą kwotą rachunku wierzyciela. Oznacza to, że wpłata gotówkowa wadium wnoszona na poczcie lub w banku nie stanowi polecenia przelewu w rozumieniu wyżej cytowanych artykułów.</w:t>
      </w:r>
    </w:p>
    <w:p>
      <w:pPr>
        <w:pStyle w:val="Normal"/>
        <w:spacing w:lineRule="auto" w:line="276" w:before="0" w:after="120"/>
        <w:ind w:left="0" w:hanging="0"/>
        <w:jc w:val="both"/>
        <w:rPr>
          <w:szCs w:val="24"/>
        </w:rPr>
      </w:pPr>
      <w:r>
        <w:rPr>
          <w:szCs w:val="24"/>
        </w:rPr>
        <w:t>4.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w:t>
      </w:r>
    </w:p>
    <w:p>
      <w:pPr>
        <w:pStyle w:val="Normal"/>
        <w:spacing w:lineRule="auto" w:line="276" w:before="0" w:after="120"/>
        <w:ind w:left="0" w:hanging="0"/>
        <w:jc w:val="both"/>
        <w:rPr>
          <w:szCs w:val="24"/>
        </w:rPr>
      </w:pPr>
      <w:r>
        <w:rPr>
          <w:szCs w:val="24"/>
        </w:rPr>
        <w:t>5. Zamawiający zwraca wadium wszystkim Wykonawcom niezwłocznie po wyborze oferty najkorzystniejszej lub unieważnieniu postępowania, z wyjątkiem Wykonawcy, którego oferta została wybrana jako najkorzystniejsza, z zastrzeżeniem art. 46 ust. 4a ustawyPzp.</w:t>
      </w:r>
    </w:p>
    <w:p>
      <w:pPr>
        <w:pStyle w:val="Normal"/>
        <w:spacing w:lineRule="auto" w:line="276" w:before="0" w:after="120"/>
        <w:ind w:left="0" w:hanging="0"/>
        <w:jc w:val="both"/>
        <w:rPr>
          <w:szCs w:val="24"/>
        </w:rPr>
      </w:pPr>
      <w:r>
        <w:rPr>
          <w:szCs w:val="24"/>
        </w:rPr>
        <w:t>6. Wykonawcy, którego oferta została wybrana jako najkorzystniejsza, Zamawiający zwraca wadium niezwłocznie po zawarciu umowy oraz wniesieniu zabezpieczenia należytego wykonania umowy, jeżeli jego wniesienie żądano.</w:t>
      </w:r>
    </w:p>
    <w:p>
      <w:pPr>
        <w:pStyle w:val="Normal"/>
        <w:spacing w:lineRule="auto" w:line="276" w:before="0" w:after="120"/>
        <w:ind w:left="0" w:hanging="0"/>
        <w:jc w:val="both"/>
        <w:rPr>
          <w:szCs w:val="24"/>
        </w:rPr>
      </w:pPr>
      <w:r>
        <w:rPr>
          <w:szCs w:val="24"/>
        </w:rPr>
        <w:t>7. Zamawiający zwraca niezwłocznie wadium, na wniosek Wykonawcy, który wycofał ofertę przed upływem terminu składania ofert.</w:t>
      </w:r>
    </w:p>
    <w:p>
      <w:pPr>
        <w:pStyle w:val="Normal"/>
        <w:spacing w:lineRule="auto" w:line="276" w:before="0" w:after="120"/>
        <w:ind w:left="0" w:hanging="0"/>
        <w:jc w:val="both"/>
        <w:rPr>
          <w:szCs w:val="24"/>
        </w:rPr>
      </w:pPr>
      <w:r>
        <w:rPr>
          <w:szCs w:val="24"/>
        </w:rPr>
        <w:t>8. Zamawiający zatrzymuje wadium wraz z odsetkami, jeżeli wykonawca, którego oferta została wybrana:</w:t>
      </w:r>
    </w:p>
    <w:p>
      <w:pPr>
        <w:pStyle w:val="Normal"/>
        <w:spacing w:lineRule="auto" w:line="276" w:before="0" w:after="120"/>
        <w:ind w:left="0" w:hanging="0"/>
        <w:jc w:val="both"/>
        <w:rPr>
          <w:szCs w:val="24"/>
        </w:rPr>
      </w:pPr>
      <w:r>
        <w:rPr>
          <w:szCs w:val="24"/>
        </w:rPr>
        <w:t>1) odmówił podpisania umowy w sprawie zamówienia publicznego na warunkach określonych w ofercie;</w:t>
      </w:r>
    </w:p>
    <w:p>
      <w:pPr>
        <w:pStyle w:val="Normal"/>
        <w:spacing w:lineRule="auto" w:line="276" w:before="0" w:after="120"/>
        <w:ind w:left="0" w:hanging="0"/>
        <w:jc w:val="both"/>
        <w:rPr>
          <w:szCs w:val="24"/>
        </w:rPr>
      </w:pPr>
      <w:r>
        <w:rPr>
          <w:szCs w:val="24"/>
        </w:rPr>
        <w:t>2) nie wniósł wymaganego zabezpieczenia należytego wykonania umowy;</w:t>
      </w:r>
    </w:p>
    <w:p>
      <w:pPr>
        <w:pStyle w:val="Normal"/>
        <w:spacing w:lineRule="auto" w:line="276" w:before="0" w:after="120"/>
        <w:ind w:left="0" w:hanging="0"/>
        <w:jc w:val="both"/>
        <w:rPr>
          <w:szCs w:val="24"/>
        </w:rPr>
      </w:pPr>
      <w:r>
        <w:rPr>
          <w:szCs w:val="24"/>
        </w:rPr>
        <w:t>3) zawarcie umowy w sprawie zamówienia publicznego stało się niemożliwe z przyczyn leżących po stronie wykonawcy.</w:t>
      </w:r>
    </w:p>
    <w:p>
      <w:pPr>
        <w:pStyle w:val="Normal"/>
        <w:spacing w:lineRule="auto" w:line="276" w:before="0" w:after="120"/>
        <w:ind w:left="0" w:hanging="0"/>
        <w:jc w:val="both"/>
        <w:rPr>
          <w:szCs w:val="24"/>
        </w:rPr>
      </w:pPr>
      <w:r>
        <w:rPr>
          <w:szCs w:val="24"/>
        </w:rPr>
        <w:t>9. Zamawiający na podstawie art. 46 ust. 4a ustawy Pzp zatrzymuje wadium wraz z odsetkami, jeżeli wykonawca w odpowiedzi na wezwanie, o którym mowa w art. 26 ust. 3 i 3a ustawy Pzp, z przyczyn leżących po jego stronie, nie złożył oświadczeń lub dokumentów potwierdzających okoliczności, o których mowa w art. 25 ust. 1 ustawy Pzp, oświadczenia, o którym mowa w art. 25a ust. 1 ustawy Pzp, pełnomocnictw lub nie wyraził zgody na poprawienie omyłki, o której mowa w art. 87 ust. 2 pkt. 3 ustawy Pzp, co spowodowało brak możliwości wybrania oferty złożonej przez wykonawcę jako najkorzystniejszej.</w:t>
      </w:r>
    </w:p>
    <w:p>
      <w:pPr>
        <w:pStyle w:val="Normal"/>
        <w:spacing w:lineRule="auto" w:line="276"/>
        <w:ind w:left="0" w:hanging="0"/>
        <w:jc w:val="both"/>
        <w:rPr>
          <w:szCs w:val="24"/>
        </w:rPr>
      </w:pPr>
      <w:r>
        <w:rPr>
          <w:szCs w:val="24"/>
        </w:rPr>
        <w:t>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w:t>
      </w:r>
    </w:p>
    <w:p>
      <w:pPr>
        <w:pStyle w:val="Normal"/>
        <w:spacing w:lineRule="auto" w:line="276"/>
        <w:ind w:left="0" w:hanging="0"/>
        <w:jc w:val="both"/>
        <w:rPr>
          <w:szCs w:val="24"/>
        </w:rPr>
      </w:pPr>
      <w:r>
        <w:rPr>
          <w:szCs w:val="24"/>
        </w:rPr>
        <w:t>11. Oferta nie zabezpieczona w wymaganym terminie wadium, spowoduje na podstawie art. 89 ust. 1 pkt. 7b odrzucenie oferty wykonawcy przez zamawiającego.</w:t>
      </w:r>
    </w:p>
    <w:p>
      <w:pPr>
        <w:pStyle w:val="Normal"/>
        <w:ind w:left="0" w:hanging="0"/>
        <w:jc w:val="both"/>
        <w:rPr>
          <w:rFonts w:eastAsia="Calibri"/>
          <w:szCs w:val="18"/>
        </w:rPr>
      </w:pPr>
      <w:r>
        <w:rPr>
          <w:rFonts w:eastAsia="Calibri"/>
          <w:szCs w:val="18"/>
        </w:rPr>
      </w:r>
    </w:p>
    <w:p>
      <w:pPr>
        <w:pStyle w:val="Artyku"/>
        <w:numPr>
          <w:ilvl w:val="0"/>
          <w:numId w:val="1"/>
        </w:numPr>
        <w:rPr/>
      </w:pPr>
      <w:bookmarkStart w:id="11" w:name="_Toc496698272"/>
      <w:r>
        <w:rPr/>
        <w:t>Termin związania ofertą</w:t>
      </w:r>
      <w:bookmarkEnd w:id="11"/>
    </w:p>
    <w:p>
      <w:pPr>
        <w:pStyle w:val="Artyku"/>
        <w:ind w:left="1077" w:hanging="227"/>
        <w:rPr/>
      </w:pPr>
      <w:r>
        <w:rPr/>
      </w:r>
    </w:p>
    <w:p>
      <w:pPr>
        <w:pStyle w:val="Normal"/>
        <w:spacing w:before="0" w:after="120"/>
        <w:ind w:left="0" w:hanging="0"/>
        <w:jc w:val="both"/>
        <w:rPr>
          <w:b/>
          <w:b/>
          <w:bCs/>
          <w:szCs w:val="24"/>
        </w:rPr>
      </w:pPr>
      <w:r>
        <w:rPr>
          <w:szCs w:val="24"/>
        </w:rPr>
        <w:t xml:space="preserve">1. Wykonawcy pozostają związani ofertą przez </w:t>
      </w:r>
      <w:r>
        <w:rPr>
          <w:b/>
          <w:bCs/>
          <w:szCs w:val="24"/>
        </w:rPr>
        <w:t xml:space="preserve">okres 30 dni </w:t>
      </w:r>
      <w:r>
        <w:rPr>
          <w:szCs w:val="24"/>
        </w:rPr>
        <w:t>od upływu terminu do składania ofert</w:t>
      </w:r>
      <w:r>
        <w:rPr>
          <w:b/>
          <w:bCs/>
          <w:szCs w:val="24"/>
        </w:rPr>
        <w:t>.</w:t>
      </w:r>
    </w:p>
    <w:p>
      <w:pPr>
        <w:pStyle w:val="Normal"/>
        <w:ind w:left="0" w:hanging="0"/>
        <w:jc w:val="both"/>
        <w:rPr>
          <w:szCs w:val="24"/>
        </w:rPr>
      </w:pPr>
      <w:r>
        <w:rPr>
          <w:szCs w:val="24"/>
        </w:rPr>
        <w:t>2. Przedłużenie terminu związania ofertą jest dopuszczalne tylko z jednoczesnym przedłużeniem okresu ważności wadium albo, z wniesieniem nowego wadium na przedłużony okres związania ofertą.</w:t>
      </w:r>
    </w:p>
    <w:p>
      <w:pPr>
        <w:pStyle w:val="Normal"/>
        <w:ind w:left="0" w:hanging="0"/>
        <w:jc w:val="both"/>
        <w:rPr>
          <w:szCs w:val="24"/>
        </w:rPr>
      </w:pPr>
      <w:r>
        <w:rPr>
          <w:szCs w:val="24"/>
        </w:rPr>
      </w:r>
    </w:p>
    <w:p>
      <w:pPr>
        <w:pStyle w:val="Normal"/>
        <w:ind w:left="0" w:hanging="0"/>
        <w:jc w:val="both"/>
        <w:rPr>
          <w:rFonts w:eastAsia="Calibri"/>
          <w:sz w:val="18"/>
          <w:szCs w:val="18"/>
        </w:rPr>
      </w:pPr>
      <w:r>
        <w:rPr>
          <w:rFonts w:eastAsia="Calibri"/>
          <w:sz w:val="18"/>
          <w:szCs w:val="18"/>
        </w:rPr>
      </w:r>
    </w:p>
    <w:p>
      <w:pPr>
        <w:pStyle w:val="Artyku"/>
        <w:numPr>
          <w:ilvl w:val="0"/>
          <w:numId w:val="1"/>
        </w:numPr>
        <w:rPr/>
      </w:pPr>
      <w:bookmarkStart w:id="12" w:name="_Toc496698273"/>
      <w:r>
        <w:rPr/>
        <w:t>Opis sposobu przygotowania oferty</w:t>
      </w:r>
      <w:bookmarkEnd w:id="12"/>
    </w:p>
    <w:p>
      <w:pPr>
        <w:pStyle w:val="Artyku"/>
        <w:ind w:left="357" w:hanging="227"/>
        <w:rPr/>
      </w:pPr>
      <w:r>
        <w:rPr/>
      </w:r>
    </w:p>
    <w:p>
      <w:pPr>
        <w:pStyle w:val="Normal"/>
        <w:ind w:left="0" w:hanging="0"/>
        <w:jc w:val="both"/>
        <w:rPr>
          <w:b/>
          <w:b/>
          <w:bCs/>
          <w:szCs w:val="24"/>
        </w:rPr>
      </w:pPr>
      <w:r>
        <w:rPr>
          <w:b/>
          <w:bCs/>
          <w:szCs w:val="24"/>
        </w:rPr>
        <w:t>A. Przygotowanie oferty</w:t>
      </w:r>
    </w:p>
    <w:p>
      <w:pPr>
        <w:pStyle w:val="Normal"/>
        <w:spacing w:lineRule="auto" w:line="276" w:before="0" w:after="120"/>
        <w:ind w:left="0" w:hanging="0"/>
        <w:jc w:val="both"/>
        <w:rPr>
          <w:szCs w:val="24"/>
        </w:rPr>
      </w:pPr>
      <w:r>
        <w:rPr>
          <w:szCs w:val="24"/>
        </w:rPr>
        <w:t>1. Wykonawca zobowiązany jest zapoznać się z wszystkimi rozdziałami oraz załącznikami składającymi się na specyfikację istotnych warunków zamówienia.</w:t>
      </w:r>
    </w:p>
    <w:p>
      <w:pPr>
        <w:pStyle w:val="Normal"/>
        <w:spacing w:lineRule="auto" w:line="276" w:before="0" w:after="120"/>
        <w:ind w:left="0" w:hanging="0"/>
        <w:jc w:val="both"/>
        <w:rPr>
          <w:szCs w:val="24"/>
        </w:rPr>
      </w:pPr>
      <w:r>
        <w:rPr>
          <w:szCs w:val="24"/>
        </w:rPr>
        <w:t>2. Każdy Wykonawca może przedłożyć tylko jedną ofertę. Wykonawca winien złożyć ofertę na formularzu ofertowym Zamawiającego (Załącznik nr 1).</w:t>
      </w:r>
    </w:p>
    <w:p>
      <w:pPr>
        <w:pStyle w:val="Normal"/>
        <w:spacing w:lineRule="auto" w:line="276" w:before="0" w:after="120"/>
        <w:ind w:left="0" w:hanging="0"/>
        <w:jc w:val="both"/>
        <w:rPr>
          <w:szCs w:val="24"/>
        </w:rPr>
      </w:pPr>
      <w:r>
        <w:rPr>
          <w:szCs w:val="24"/>
        </w:rPr>
        <w:t xml:space="preserve">3. Wykonawca poniesie wszelkie koszty związane z przygotowaniem i złożeniem oferty. </w:t>
      </w:r>
    </w:p>
    <w:p>
      <w:pPr>
        <w:pStyle w:val="Normal"/>
        <w:spacing w:lineRule="auto" w:line="276" w:before="0" w:after="120"/>
        <w:ind w:left="0" w:hanging="0"/>
        <w:jc w:val="both"/>
        <w:rPr>
          <w:szCs w:val="24"/>
        </w:rPr>
      </w:pPr>
      <w:r>
        <w:rPr>
          <w:szCs w:val="24"/>
        </w:rPr>
        <w:t>4. Oferta wraz z wymaganymi dokumentami i oświadczeniami o których mowa w rozdziale VI, powinny być sporządzone w języku polskim z zachowaniem formy pisemnej. Wszelkie oświadczenia, wykazy oraz inne informacje wymagane SIWZ Wykonawcy mogą składać na własnych drukach. Treść druków własnych przygotowanych przez Wykonawcę musi być zgodna z treścią załączników opracowanych przez stronę Zamawiającą.</w:t>
      </w:r>
    </w:p>
    <w:p>
      <w:pPr>
        <w:pStyle w:val="Normal"/>
        <w:spacing w:lineRule="auto" w:line="276" w:before="0" w:after="120"/>
        <w:ind w:left="0" w:hanging="0"/>
        <w:jc w:val="both"/>
        <w:rPr>
          <w:b/>
          <w:b/>
          <w:bCs/>
          <w:szCs w:val="24"/>
        </w:rPr>
      </w:pPr>
      <w:r>
        <w:rPr>
          <w:szCs w:val="24"/>
        </w:rPr>
        <w:t xml:space="preserve">5. </w:t>
      </w:r>
      <w:r>
        <w:rPr>
          <w:b/>
          <w:bCs/>
          <w:szCs w:val="24"/>
        </w:rPr>
        <w:t xml:space="preserve">Oferta i oświadczenia muszą być podpisane przez osobę/y uprawnioną/e lub upoważnioną/e do składania oświadczeń woli w imieniu Wykonawcy, pozostałe dokumenty wymagane przez SIWZ, </w:t>
        <w:br/>
        <w:t>w tym kopie poświadczone za zgodność z oryginałem muszą być parafowane, nie koniecznie przez osobę/y upoważnioną/e do składania oświadczeń woli w imieniu Wykonawcy.</w:t>
      </w:r>
    </w:p>
    <w:p>
      <w:pPr>
        <w:pStyle w:val="Normal"/>
        <w:spacing w:lineRule="auto" w:line="276" w:before="0" w:after="120"/>
        <w:ind w:left="0" w:hanging="0"/>
        <w:jc w:val="both"/>
        <w:rPr>
          <w:szCs w:val="24"/>
        </w:rPr>
      </w:pPr>
      <w:r>
        <w:rPr>
          <w:szCs w:val="24"/>
        </w:rPr>
        <w:t>6. Pełnomocnictwo do złożenia oferty, o ile prawo do podpisania oferty nie wynika z innych dokumentów złożonych wraz z ofertą. Treść pełnomocnictwa musi jednoznacznie określać czynności, co do wykonania, których pełnomocnik jest upoważniony. Pełnomocnictwo musi być przedstawione w oryginale lub kopii, której zgodność z oryginałem poświadczono notarialnie.</w:t>
      </w:r>
    </w:p>
    <w:p>
      <w:pPr>
        <w:pStyle w:val="Normal"/>
        <w:spacing w:lineRule="auto" w:line="276" w:before="0" w:after="120"/>
        <w:ind w:left="0" w:hanging="0"/>
        <w:jc w:val="both"/>
        <w:rPr>
          <w:szCs w:val="24"/>
        </w:rPr>
      </w:pPr>
      <w:r>
        <w:rPr>
          <w:szCs w:val="24"/>
        </w:rPr>
        <w:t>7. Upoważnienie / pełnomocnictwo do ich podpisania musi być dołączone do oferty w formie oryginału.</w:t>
      </w:r>
    </w:p>
    <w:p>
      <w:pPr>
        <w:pStyle w:val="Normal"/>
        <w:spacing w:lineRule="auto" w:line="276" w:before="0" w:after="120"/>
        <w:ind w:left="0" w:hanging="0"/>
        <w:jc w:val="both"/>
        <w:rPr>
          <w:szCs w:val="24"/>
        </w:rPr>
      </w:pPr>
      <w:r>
        <w:rPr>
          <w:szCs w:val="24"/>
        </w:rPr>
        <w:t>8. Wszelkie poprawki naniesione przez Wykonawcę winny być parafowane przez osoby podpisujące ofertę wraz ze wskazaniem daty kiedy zostały naniesione zmiany.</w:t>
      </w:r>
    </w:p>
    <w:p>
      <w:pPr>
        <w:pStyle w:val="Normal"/>
        <w:spacing w:lineRule="auto" w:line="276" w:before="0" w:after="120"/>
        <w:ind w:left="0" w:hanging="0"/>
        <w:jc w:val="both"/>
        <w:rPr>
          <w:szCs w:val="24"/>
        </w:rPr>
      </w:pPr>
      <w:r>
        <w:rPr>
          <w:szCs w:val="24"/>
        </w:rPr>
        <w:t>9. Ofertę wypełnić należy w sposób czytelny, na komputerze lub czytelnym pismem odręcznym. Nieczytelne oferty mogą zostać odrzucone.</w:t>
      </w:r>
    </w:p>
    <w:p>
      <w:pPr>
        <w:pStyle w:val="Normal"/>
        <w:spacing w:lineRule="auto" w:line="276"/>
        <w:ind w:left="0" w:hanging="0"/>
        <w:jc w:val="both"/>
        <w:rPr>
          <w:szCs w:val="24"/>
        </w:rPr>
      </w:pPr>
      <w:r>
        <w:rPr>
          <w:szCs w:val="24"/>
        </w:rPr>
        <w:t>10. Wykonawca złoży ofertę zgodnie z wymaganiami SIWZ.</w:t>
      </w:r>
    </w:p>
    <w:p>
      <w:pPr>
        <w:pStyle w:val="Normal"/>
        <w:ind w:left="0" w:hanging="0"/>
        <w:jc w:val="both"/>
        <w:rPr>
          <w:szCs w:val="24"/>
        </w:rPr>
      </w:pPr>
      <w:r>
        <w:rPr>
          <w:szCs w:val="24"/>
        </w:rPr>
      </w:r>
    </w:p>
    <w:p>
      <w:pPr>
        <w:pStyle w:val="Normal"/>
        <w:ind w:left="0" w:hanging="0"/>
        <w:jc w:val="both"/>
        <w:rPr>
          <w:b/>
          <w:b/>
          <w:bCs/>
          <w:szCs w:val="24"/>
        </w:rPr>
      </w:pPr>
      <w:r>
        <w:rPr>
          <w:b/>
          <w:bCs/>
          <w:szCs w:val="24"/>
        </w:rPr>
        <w:t>B. Oferta wspólna - konsorcjum</w:t>
      </w:r>
    </w:p>
    <w:p>
      <w:pPr>
        <w:pStyle w:val="Normal"/>
        <w:spacing w:lineRule="auto" w:line="276" w:before="0" w:after="120"/>
        <w:ind w:left="0" w:hanging="0"/>
        <w:jc w:val="both"/>
        <w:rPr>
          <w:szCs w:val="24"/>
        </w:rPr>
      </w:pPr>
      <w:r>
        <w:rPr>
          <w:szCs w:val="24"/>
        </w:rPr>
        <w:t xml:space="preserve">1. Wykonawcy składający ofertę wspólną ustanawiają pełnomocnika do reprezentowania ich </w:t>
        <w:br/>
        <w:t>w postępowaniu albo do reprezentowania ich w postępowaniu i zawarcia umowy. Do oferty należy załączyć pełnomocnictwo dla ustanowionego pełnomocnika.</w:t>
      </w:r>
    </w:p>
    <w:p>
      <w:pPr>
        <w:pStyle w:val="Normal"/>
        <w:spacing w:lineRule="auto" w:line="276" w:before="0" w:after="120"/>
        <w:ind w:left="0" w:hanging="0"/>
        <w:jc w:val="both"/>
        <w:rPr>
          <w:szCs w:val="24"/>
        </w:rPr>
      </w:pPr>
      <w:r>
        <w:rPr>
          <w:szCs w:val="24"/>
        </w:rPr>
        <w:t>2. Pełnomocnik pozostaje w kontakcie z Zamawiającym w toku postępowania: zwraca się do zamawiającego z wszelkimi sprawami i do niego zamawiający kieruje informacje, korespondencję, itp.</w:t>
      </w:r>
    </w:p>
    <w:p>
      <w:pPr>
        <w:pStyle w:val="Normal"/>
        <w:spacing w:lineRule="auto" w:line="276" w:before="0" w:after="120"/>
        <w:ind w:left="0" w:hanging="0"/>
        <w:jc w:val="both"/>
        <w:rPr>
          <w:szCs w:val="24"/>
        </w:rPr>
      </w:pPr>
      <w:r>
        <w:rPr>
          <w:szCs w:val="24"/>
        </w:rPr>
        <w:t>3. Oferta wspólna, składana przez dwóch lub więcej wykonawców, powinna spełniać następujące wymagania:</w:t>
      </w:r>
    </w:p>
    <w:p>
      <w:pPr>
        <w:pStyle w:val="Normal"/>
        <w:spacing w:lineRule="auto" w:line="276" w:before="0" w:after="120"/>
        <w:ind w:left="0" w:hanging="0"/>
        <w:jc w:val="both"/>
        <w:rPr>
          <w:szCs w:val="24"/>
        </w:rPr>
      </w:pPr>
      <w:r>
        <w:rPr>
          <w:szCs w:val="24"/>
        </w:rPr>
        <w:t>1) oferta wspólna powinna być sporządzona zgodnie z SIWZ;</w:t>
      </w:r>
    </w:p>
    <w:p>
      <w:pPr>
        <w:pStyle w:val="Normal"/>
        <w:spacing w:lineRule="auto" w:line="276"/>
        <w:ind w:left="0" w:hanging="0"/>
        <w:jc w:val="both"/>
        <w:rPr>
          <w:szCs w:val="24"/>
        </w:rPr>
      </w:pPr>
      <w:r>
        <w:rPr>
          <w:szCs w:val="24"/>
        </w:rPr>
        <w:t>2) sposób składania oświadczeń i dokumentów w ofercie wspólnej:</w:t>
      </w:r>
    </w:p>
    <w:p>
      <w:pPr>
        <w:pStyle w:val="Normal"/>
        <w:spacing w:lineRule="auto" w:line="276" w:before="0" w:after="120"/>
        <w:ind w:left="0" w:hanging="0"/>
        <w:jc w:val="both"/>
        <w:rPr>
          <w:szCs w:val="24"/>
        </w:rPr>
      </w:pPr>
      <w:r>
        <w:rPr>
          <w:szCs w:val="24"/>
        </w:rPr>
        <w:t xml:space="preserve">a) wykonawcy składają jedną ofertę do której załączone będą oświadczenia i dokumenty, o których mowa </w:t>
        <w:br/>
        <w:t>w rozdziale VI ust. 1 SIWZ - oświadczenia o braku podstaw do wykluczenia oraz spełniania warunków udziału w postępowaniu składa każdy z wykonawców osobno;</w:t>
      </w:r>
    </w:p>
    <w:p>
      <w:pPr>
        <w:pStyle w:val="Normal"/>
        <w:spacing w:lineRule="auto" w:line="276" w:before="0" w:after="120"/>
        <w:ind w:left="0" w:hanging="0"/>
        <w:jc w:val="both"/>
        <w:rPr>
          <w:szCs w:val="24"/>
        </w:rPr>
      </w:pPr>
      <w:r>
        <w:rPr>
          <w:szCs w:val="24"/>
        </w:rPr>
        <w:t xml:space="preserve">b) w przypadku, o którym mowa w rozdziale VI ust. 2 wykonawca winien przedłożyć dokumenty </w:t>
        <w:br/>
        <w:t>i oświadczenia wymienione w rozdziale VI ust. 2 pkt. 1-5 dotyczące każdego partnera konsorcjum osobno;</w:t>
      </w:r>
    </w:p>
    <w:p>
      <w:pPr>
        <w:pStyle w:val="Normal"/>
        <w:spacing w:lineRule="auto" w:line="276" w:before="0" w:after="120"/>
        <w:ind w:left="0" w:hanging="0"/>
        <w:jc w:val="both"/>
        <w:rPr>
          <w:szCs w:val="24"/>
        </w:rPr>
      </w:pPr>
      <w:r>
        <w:rPr>
          <w:szCs w:val="24"/>
        </w:rPr>
        <w:t>c) oświadczenie, o którym mowa w rozdziale VI ust. 14 składa każdy z wykonawców osobno;</w:t>
      </w:r>
    </w:p>
    <w:p>
      <w:pPr>
        <w:pStyle w:val="Normal"/>
        <w:spacing w:lineRule="auto" w:line="276" w:before="0" w:after="120"/>
        <w:ind w:left="0" w:hanging="0"/>
        <w:jc w:val="both"/>
        <w:rPr>
          <w:szCs w:val="24"/>
        </w:rPr>
      </w:pPr>
      <w:r>
        <w:rPr>
          <w:szCs w:val="24"/>
        </w:rPr>
        <w:t xml:space="preserve">d) oświadczenia i dokumenty wspólne takie jak np.: oferta cenowa, składa pełnomocnik wykonawców </w:t>
        <w:br/>
        <w:t>w imieniu wszystkich wykonawców składających ofertę wspólną;</w:t>
      </w:r>
    </w:p>
    <w:p>
      <w:pPr>
        <w:pStyle w:val="Normal"/>
        <w:spacing w:lineRule="auto" w:line="276" w:before="0" w:after="120"/>
        <w:ind w:left="0" w:hanging="0"/>
        <w:jc w:val="both"/>
        <w:rPr>
          <w:szCs w:val="24"/>
        </w:rPr>
      </w:pPr>
      <w:r>
        <w:rPr>
          <w:szCs w:val="24"/>
        </w:rPr>
        <w:t>e) oferta musi być podpisana w taki sposób, by prawnie zobowiązywała wszystkich wykonawców występujących wspólnie;</w:t>
      </w:r>
    </w:p>
    <w:p>
      <w:pPr>
        <w:pStyle w:val="Normal"/>
        <w:spacing w:lineRule="auto" w:line="276" w:before="0" w:after="120"/>
        <w:ind w:left="0" w:hanging="0"/>
        <w:jc w:val="both"/>
        <w:rPr>
          <w:szCs w:val="24"/>
        </w:rPr>
      </w:pPr>
      <w:r>
        <w:rPr>
          <w:szCs w:val="24"/>
        </w:rPr>
        <w:t>f) wszyscy partnerzy będą ponosić odpowiedzialność solidarną za wykonanie umowy zgodnie z jej postanowieniami;</w:t>
      </w:r>
    </w:p>
    <w:p>
      <w:pPr>
        <w:pStyle w:val="Normal"/>
        <w:spacing w:lineRule="auto" w:line="276" w:before="0" w:after="120"/>
        <w:ind w:left="0" w:hanging="0"/>
        <w:jc w:val="both"/>
        <w:rPr>
          <w:szCs w:val="24"/>
        </w:rPr>
      </w:pPr>
      <w:r>
        <w:rPr>
          <w:szCs w:val="24"/>
        </w:rPr>
        <w:t>g) wszelka korespondencja dokonywana będzie wyłącznie z podmiotem występującym jako reprezentant (pełnomocnik) pozostałych.</w:t>
      </w:r>
    </w:p>
    <w:p>
      <w:pPr>
        <w:pStyle w:val="Normal"/>
        <w:spacing w:lineRule="auto" w:line="276" w:before="0" w:after="120"/>
        <w:ind w:left="0" w:hanging="0"/>
        <w:jc w:val="both"/>
        <w:rPr>
          <w:i/>
          <w:i/>
          <w:szCs w:val="24"/>
        </w:rPr>
      </w:pPr>
      <w:r>
        <w:rPr>
          <w:i/>
          <w:szCs w:val="24"/>
        </w:rPr>
        <w:t>Uwaga: warunki, o których mowa w rozdziale V SIWZ (warunki uczestnictwa w przetargu) podmioty składające ofertę wspólną jako konsorcjum mogą spełniać łącznie.</w:t>
      </w:r>
    </w:p>
    <w:p>
      <w:pPr>
        <w:pStyle w:val="Normal"/>
        <w:spacing w:lineRule="auto" w:line="276" w:before="0" w:after="120"/>
        <w:ind w:left="0" w:hanging="0"/>
        <w:jc w:val="both"/>
        <w:rPr>
          <w:szCs w:val="24"/>
        </w:rPr>
      </w:pPr>
      <w:r>
        <w:rPr>
          <w:szCs w:val="24"/>
        </w:rPr>
        <w:t>3) przed podpisaniem umowy (w przypadku wygrania przetargu) wykonawcy składający ofertę wspólną będą mieli obowiązek przedstawić zamawiającemu umowę konsorcjum.</w:t>
      </w:r>
    </w:p>
    <w:p>
      <w:pPr>
        <w:pStyle w:val="Normal"/>
        <w:spacing w:lineRule="auto" w:line="276"/>
        <w:ind w:left="0" w:hanging="0"/>
        <w:jc w:val="both"/>
        <w:rPr>
          <w:szCs w:val="24"/>
        </w:rPr>
      </w:pPr>
      <w:r>
        <w:rPr>
          <w:szCs w:val="24"/>
        </w:rPr>
        <w:t>4. Pełnomocnictwo do reprezentowania Wykonawców w postępowaniu albo reprezentowania Wykonawców w postępowaniu i zawarcia umowy w sprawie zamówienia publicznego - dotyczy Wykonawców wspólnie ubiegających się o uzyskanie zamówienia. Pełnomocnictwo musi być przedstawione w oryginale lub kopii, której zgodność z oryginałem poświadczono notarialnie.</w:t>
      </w:r>
    </w:p>
    <w:p>
      <w:pPr>
        <w:pStyle w:val="Normal"/>
        <w:spacing w:lineRule="auto" w:line="276"/>
        <w:ind w:left="0" w:hanging="0"/>
        <w:jc w:val="both"/>
        <w:rPr>
          <w:szCs w:val="24"/>
        </w:rPr>
      </w:pPr>
      <w:r>
        <w:rPr>
          <w:szCs w:val="24"/>
        </w:rPr>
      </w:r>
    </w:p>
    <w:p>
      <w:pPr>
        <w:pStyle w:val="Normal"/>
        <w:ind w:left="0" w:hanging="0"/>
        <w:jc w:val="both"/>
        <w:rPr>
          <w:b/>
          <w:b/>
          <w:bCs/>
          <w:szCs w:val="24"/>
        </w:rPr>
      </w:pPr>
      <w:r>
        <w:rPr>
          <w:b/>
          <w:bCs/>
          <w:szCs w:val="24"/>
        </w:rPr>
        <w:t>C. Podwykonawcy</w:t>
      </w:r>
    </w:p>
    <w:p>
      <w:pPr>
        <w:pStyle w:val="Normal"/>
        <w:spacing w:lineRule="auto" w:line="276" w:before="0" w:after="120"/>
        <w:ind w:left="0" w:hanging="0"/>
        <w:jc w:val="both"/>
        <w:rPr>
          <w:szCs w:val="24"/>
        </w:rPr>
      </w:pPr>
      <w:r>
        <w:rPr>
          <w:szCs w:val="24"/>
        </w:rPr>
        <w:t>1. Zamawiający dopuszcza powierzenie części zamówienia przez Wykonawcę podwykonawcom lub dalszym podwykonawcom.</w:t>
      </w:r>
    </w:p>
    <w:p>
      <w:pPr>
        <w:pStyle w:val="Normal"/>
        <w:spacing w:lineRule="auto" w:line="276" w:before="0" w:after="120"/>
        <w:ind w:left="0" w:hanging="0"/>
        <w:jc w:val="both"/>
        <w:rPr>
          <w:szCs w:val="24"/>
        </w:rPr>
      </w:pPr>
      <w:r>
        <w:rPr>
          <w:szCs w:val="24"/>
        </w:rPr>
        <w:t>2. W przypadku powierzenia określonej części robót podwykonawcy, stosuje się następujące zasady.</w:t>
      </w:r>
    </w:p>
    <w:p>
      <w:pPr>
        <w:pStyle w:val="Normal"/>
        <w:spacing w:lineRule="auto" w:line="276" w:before="0" w:after="120"/>
        <w:ind w:left="0" w:hanging="0"/>
        <w:jc w:val="both"/>
        <w:rPr>
          <w:szCs w:val="24"/>
        </w:rPr>
      </w:pPr>
      <w:r>
        <w:rPr>
          <w:szCs w:val="24"/>
        </w:rPr>
        <w:t xml:space="preserve">3. Do zawarcia przez Wykonawcę umowy z Podwykonawcą wymagana jest zgoda Zamawiającego. Wykonawca, podwykonawca lub dalszy podwykonawca zamówienia zamierzający zawrzeć umowę </w:t>
        <w:br/>
        <w:t>o podwykonawstwo, której przedmiotem są roboty budowlane jest obowiązany, w trakcie realizacji zamówienia publicznego, do przedłożenia Zamawiającemu projektu tej umowy, wraz z wyszczególnieniem zakresu, jaki chce mu powierzyć. Przy czym podwykonawca lub dalszy podwykonawca jest obowiązany dołączyć zgodę Wykonawcy na zawarcie umowy o podwykonawstwo o treści zgodnej z projektem umowy.</w:t>
      </w:r>
    </w:p>
    <w:p>
      <w:pPr>
        <w:pStyle w:val="Normal"/>
        <w:spacing w:lineRule="auto" w:line="276" w:before="0" w:after="120"/>
        <w:ind w:left="0" w:hanging="0"/>
        <w:jc w:val="both"/>
        <w:rPr>
          <w:szCs w:val="24"/>
        </w:rPr>
      </w:pPr>
      <w:r>
        <w:rPr>
          <w:szCs w:val="24"/>
        </w:rPr>
        <w:t xml:space="preserve">4. Zamawiający określa następujące wymagania dotyczące umów o podwykonawstwo robót budowlanych, których niespełnienie powodować będzie zgłoszeniem zastrzeżeń lub sprzeciwu przez Zamawiającego. Zamawiający nie wyrazi zgody na zawarcie przedstawionej mu przez Wykonawcę, umowy </w:t>
        <w:br/>
        <w:t>z Podwykonawcą w szczególności w następujących przypadkach:</w:t>
      </w:r>
    </w:p>
    <w:p>
      <w:pPr>
        <w:pStyle w:val="Normal"/>
        <w:spacing w:lineRule="auto" w:line="276" w:before="0" w:after="120"/>
        <w:ind w:left="0" w:hanging="0"/>
        <w:jc w:val="both"/>
        <w:rPr>
          <w:szCs w:val="24"/>
        </w:rPr>
      </w:pPr>
      <w:r>
        <w:rPr>
          <w:szCs w:val="24"/>
        </w:rPr>
        <w:t>a) umowa podwykonawcza nie określa Stron, pomiędzy którymi jest zawierana;</w:t>
      </w:r>
    </w:p>
    <w:p>
      <w:pPr>
        <w:pStyle w:val="Normal"/>
        <w:spacing w:lineRule="auto" w:line="276" w:before="0" w:after="120"/>
        <w:ind w:left="0" w:hanging="0"/>
        <w:jc w:val="both"/>
        <w:rPr>
          <w:szCs w:val="24"/>
        </w:rPr>
      </w:pPr>
      <w:r>
        <w:rPr>
          <w:szCs w:val="24"/>
        </w:rPr>
        <w:t>b) w umowie podwykonawczej Strony nie wskazały wartości wynagrodzenia /maksymalnej wartości umowy z tytułu wykonywania robót;</w:t>
      </w:r>
    </w:p>
    <w:p>
      <w:pPr>
        <w:pStyle w:val="Normal"/>
        <w:spacing w:lineRule="auto" w:line="276" w:before="0" w:after="120"/>
        <w:ind w:left="0" w:hanging="0"/>
        <w:jc w:val="both"/>
        <w:rPr>
          <w:szCs w:val="24"/>
        </w:rPr>
      </w:pPr>
      <w:r>
        <w:rPr>
          <w:szCs w:val="24"/>
        </w:rPr>
        <w:t>c) w części, w jakiej wynagrodzenie za wykonanie robót, które Wykonawca powierza Podwykonawcy, przekracza wartość wynagrodzenia tych samych robót wskazanych w ofercie przetargowej Wykonawcy;</w:t>
      </w:r>
    </w:p>
    <w:p>
      <w:pPr>
        <w:pStyle w:val="Normal"/>
        <w:spacing w:lineRule="auto" w:line="276" w:before="0" w:after="120"/>
        <w:ind w:left="0" w:hanging="0"/>
        <w:jc w:val="both"/>
        <w:rPr>
          <w:szCs w:val="24"/>
        </w:rPr>
      </w:pPr>
      <w:r>
        <w:rPr>
          <w:szCs w:val="24"/>
        </w:rPr>
        <w:t xml:space="preserve">d) do umowy podwykonawczej nie dołączono kosztorysów (przy wynagrodzeniu kosztorysowym),  </w:t>
        <w:br/>
        <w:t>z których wynika wartość należnego Podwykonawcy wynagrodzenia;</w:t>
      </w:r>
    </w:p>
    <w:p>
      <w:pPr>
        <w:pStyle w:val="Normal"/>
        <w:spacing w:lineRule="auto" w:line="276" w:before="0" w:after="120"/>
        <w:ind w:left="0" w:hanging="0"/>
        <w:jc w:val="both"/>
        <w:rPr>
          <w:szCs w:val="24"/>
        </w:rPr>
      </w:pPr>
      <w:r>
        <w:rPr>
          <w:szCs w:val="24"/>
        </w:rPr>
        <w:t xml:space="preserve">e) umowa podwykonawcza określa wymagalność zapłaty wynagrodzenia należnego Podwykonawcy </w:t>
        <w:br/>
        <w:t>w sposób inny (wymagalności) / dłuższy (termin zapłaty) niż w niniejszej umowie;</w:t>
      </w:r>
    </w:p>
    <w:p>
      <w:pPr>
        <w:pStyle w:val="Normal"/>
        <w:spacing w:lineRule="auto" w:line="276"/>
        <w:ind w:left="0" w:hanging="0"/>
        <w:jc w:val="both"/>
        <w:rPr>
          <w:szCs w:val="24"/>
        </w:rPr>
      </w:pPr>
      <w:r>
        <w:rPr>
          <w:szCs w:val="24"/>
        </w:rPr>
        <w:t>f) postanowienia umowy podwykonawczej uzależniają zapłatę wynagrodzenia należnego Podwykonawcy przez Wykonawcę od otrzymania przez Wykonawcę, zapłaty od Zamawiającego za wykonany zakres robót;</w:t>
      </w:r>
    </w:p>
    <w:p>
      <w:pPr>
        <w:pStyle w:val="Normal"/>
        <w:spacing w:lineRule="auto" w:line="276" w:before="0" w:after="120"/>
        <w:ind w:left="0" w:hanging="0"/>
        <w:jc w:val="both"/>
        <w:rPr>
          <w:szCs w:val="24"/>
        </w:rPr>
      </w:pPr>
      <w:r>
        <w:rPr>
          <w:szCs w:val="24"/>
        </w:rPr>
        <w:t xml:space="preserve">g) postanowienia umowy podwykonawczej uniemożliwiają rozliczenie stron według zasad określonych </w:t>
        <w:br/>
        <w:t>w niniejszej umowie;</w:t>
      </w:r>
    </w:p>
    <w:p>
      <w:pPr>
        <w:pStyle w:val="Normal"/>
        <w:spacing w:lineRule="auto" w:line="276" w:before="0" w:after="120"/>
        <w:ind w:left="0" w:hanging="0"/>
        <w:jc w:val="both"/>
        <w:rPr>
          <w:szCs w:val="24"/>
        </w:rPr>
      </w:pPr>
      <w:r>
        <w:rPr>
          <w:szCs w:val="24"/>
        </w:rPr>
        <w:t>h) Podwykonawca nie spełnia warunków określonych w SIWZ dla Podwykonawców (w przypadku gdy zostały określone);</w:t>
      </w:r>
    </w:p>
    <w:p>
      <w:pPr>
        <w:pStyle w:val="Normal"/>
        <w:spacing w:lineRule="auto" w:line="276" w:before="0" w:after="120"/>
        <w:ind w:left="0" w:hanging="0"/>
        <w:jc w:val="both"/>
        <w:rPr>
          <w:szCs w:val="24"/>
        </w:rPr>
      </w:pPr>
      <w:r>
        <w:rPr>
          <w:szCs w:val="24"/>
        </w:rPr>
        <w:t>i) umowa podwykonawcza wskazuje na inny niż określony w umowie z Zamawiającym moment odbioru wykonanych prac lub inne zdarzenie stanowiące podstawę wystawienia faktury za wykonane prace (odbiór częściowy, końcowy itp. stanowiący podstawę wystawienia faktury przez Wykonawcę na rzecz Zamawiającego);</w:t>
      </w:r>
    </w:p>
    <w:p>
      <w:pPr>
        <w:pStyle w:val="Normal"/>
        <w:spacing w:lineRule="auto" w:line="276" w:before="0" w:after="120"/>
        <w:ind w:left="0" w:hanging="0"/>
        <w:jc w:val="both"/>
        <w:rPr>
          <w:szCs w:val="24"/>
        </w:rPr>
      </w:pPr>
      <w:r>
        <w:rPr>
          <w:szCs w:val="24"/>
        </w:rPr>
        <w:t>j) umowa podwykonawcza przewiduje termin realizacji dłuższy niż niniejsza umowa;</w:t>
      </w:r>
    </w:p>
    <w:p>
      <w:pPr>
        <w:pStyle w:val="Normal"/>
        <w:spacing w:lineRule="auto" w:line="276" w:before="0" w:after="120"/>
        <w:ind w:left="0" w:hanging="0"/>
        <w:jc w:val="both"/>
        <w:rPr>
          <w:szCs w:val="24"/>
        </w:rPr>
      </w:pPr>
      <w:r>
        <w:rPr>
          <w:szCs w:val="24"/>
        </w:rPr>
        <w:t>k) okres odpowiedzialności za wady jest krótszy od okresu odpowiedzialności za wady Wykonawcy wobec Zamawiającego;</w:t>
      </w:r>
    </w:p>
    <w:p>
      <w:pPr>
        <w:pStyle w:val="Normal"/>
        <w:spacing w:lineRule="auto" w:line="276" w:before="0" w:after="120"/>
        <w:ind w:left="0" w:hanging="0"/>
        <w:jc w:val="both"/>
        <w:rPr>
          <w:szCs w:val="24"/>
        </w:rPr>
      </w:pPr>
      <w:r>
        <w:rPr>
          <w:szCs w:val="24"/>
        </w:rPr>
        <w:t>l) umowa nie zawiera uregulowań dotyczących zawierania umów na roboty budowlane, dostawy lub usługi z dalszymi Podwykonawcami, w szczególności zapisów warunkujących podpisania tych umów od ich akceptacji i zgody Wykonawcy.</w:t>
      </w:r>
    </w:p>
    <w:p>
      <w:pPr>
        <w:pStyle w:val="Normal"/>
        <w:spacing w:lineRule="auto" w:line="276" w:before="0" w:after="120"/>
        <w:ind w:left="0" w:hanging="0"/>
        <w:jc w:val="both"/>
        <w:rPr>
          <w:szCs w:val="24"/>
        </w:rPr>
      </w:pPr>
      <w:r>
        <w:rPr>
          <w:szCs w:val="24"/>
        </w:rPr>
        <w:t xml:space="preserve">5. Akceptacja lub odmowa akceptacji (zastrzeżenia, sprzeciwy) umowy podwykonawczej przez Zamawiającego nastąpi w formie pisemnej pod rygorem nieważności. Zamawiający, w terminie 14 dni od przedłożenia mu projektu umowy, zgłasza pisemne zastrzeżenia lub sprzeciw do projektu umowy </w:t>
        <w:br/>
        <w:t>o podwykonawstwo, której przedmiotem są roboty budowlane</w:t>
      </w:r>
      <w:r>
        <w:rPr>
          <w:b/>
          <w:bCs/>
          <w:szCs w:val="24"/>
        </w:rPr>
        <w:t xml:space="preserve">. </w:t>
      </w:r>
      <w:r>
        <w:rPr>
          <w:szCs w:val="24"/>
        </w:rPr>
        <w:t>Niezgłoszenie pisemnych zastrzeżeń lub sprzeciwu do przedłożonego projektu umowy o podwykonawstwo, której przedmiotem są roboty budowlane, w terminie 14 dni, uważa się za akceptację projektu umowy przez Zamawiającego.</w:t>
      </w:r>
    </w:p>
    <w:p>
      <w:pPr>
        <w:pStyle w:val="Normal"/>
        <w:spacing w:lineRule="auto" w:line="276" w:before="0" w:after="120"/>
        <w:ind w:left="0" w:hanging="0"/>
        <w:jc w:val="both"/>
        <w:rPr>
          <w:szCs w:val="24"/>
        </w:rPr>
      </w:pPr>
      <w:r>
        <w:rPr>
          <w:szCs w:val="24"/>
        </w:rPr>
        <w:t>6. Zgłoszenie sprzeciwu lub zastrzeżeń przez Zamawiającego w terminie określonym w ust. 5 będzie równoznaczne z odmową udzielenia zgody.</w:t>
      </w:r>
    </w:p>
    <w:p>
      <w:pPr>
        <w:pStyle w:val="Normal"/>
        <w:spacing w:lineRule="auto" w:line="276" w:before="0" w:after="120"/>
        <w:ind w:left="0" w:hanging="0"/>
        <w:jc w:val="both"/>
        <w:rPr>
          <w:szCs w:val="24"/>
        </w:rPr>
      </w:pPr>
      <w:r>
        <w:rPr>
          <w:szCs w:val="24"/>
        </w:rPr>
        <w:t>7. W przypadku odmowy akceptacji umowy podwykonawczej, Wykonawca nie może polecić Podwykonawcy przystąpienia do realizacji zadania.</w:t>
      </w:r>
    </w:p>
    <w:p>
      <w:pPr>
        <w:pStyle w:val="Normal"/>
        <w:spacing w:lineRule="auto" w:line="276" w:before="0" w:after="120"/>
        <w:ind w:left="0" w:hanging="0"/>
        <w:jc w:val="both"/>
        <w:rPr>
          <w:szCs w:val="24"/>
        </w:rPr>
      </w:pPr>
      <w:r>
        <w:rPr>
          <w:szCs w:val="24"/>
        </w:rPr>
        <w:t>8. W przypadku odmowy określonej w ust. 6, Wykonawca ponownie przedstawi projekt zmiany umowy z podwykonawcą lub aneks do umowy o podwykonawstwo, uwzględniając zastrzeżenia i uwagi zgłoszone przez Zamawiającego.</w:t>
      </w:r>
    </w:p>
    <w:p>
      <w:pPr>
        <w:pStyle w:val="Normal"/>
        <w:spacing w:lineRule="auto" w:line="276" w:before="0" w:after="120"/>
        <w:ind w:left="0" w:hanging="0"/>
        <w:jc w:val="both"/>
        <w:rPr>
          <w:szCs w:val="24"/>
        </w:rPr>
      </w:pPr>
      <w:r>
        <w:rPr>
          <w:szCs w:val="24"/>
        </w:rPr>
        <w:t>9. Wykonawca, podwykonawca lub dalszy podwykonawca przedkłada Zamawiającemu poświadczoną za zgodność z oryginałem kopię zawartej umowy o podwykonawstwo, której przedmiotem są roboty budowlane, (wcześniej zaakceptowaną przez Zamawiającego) w terminie 7 dni od dnia jej zawarcia.</w:t>
      </w:r>
    </w:p>
    <w:p>
      <w:pPr>
        <w:pStyle w:val="Normal"/>
        <w:spacing w:lineRule="auto" w:line="276"/>
        <w:ind w:left="0" w:hanging="0"/>
        <w:jc w:val="both"/>
        <w:rPr>
          <w:szCs w:val="24"/>
        </w:rPr>
      </w:pPr>
      <w:r>
        <w:rPr>
          <w:szCs w:val="24"/>
        </w:rPr>
        <w:t xml:space="preserve">10. Wykonawca, podwykonawca lub dalszy podwykonawca zamówienia na roboty budowlane przedkłada Zamawiającemu poświadczoną za zgodność z oryginałem kopię zawartej umowy o podwykonawstwo, której przedmiotem są wyłącznie usługi w zakresie obsługi geodezyjnej w terminie 7 dni od dnia jej zawarcia, z wyłączeniem umów o podwykonawstwo o wartości mniejszej niż 0,5% wartości umowy </w:t>
        <w:br/>
        <w:t xml:space="preserve">w sprawie zamówienia publicznego. Wyłączenie, o którym mowa w zdaniu pierwszym, nie dotyczy umów </w:t>
      </w:r>
    </w:p>
    <w:p>
      <w:pPr>
        <w:pStyle w:val="Normal"/>
        <w:spacing w:lineRule="auto" w:line="276" w:before="0" w:after="120"/>
        <w:ind w:left="0" w:hanging="0"/>
        <w:jc w:val="both"/>
        <w:rPr>
          <w:szCs w:val="24"/>
        </w:rPr>
      </w:pPr>
      <w:r>
        <w:rPr>
          <w:szCs w:val="24"/>
        </w:rPr>
        <w:t>o podwykonawstwo o wartości większej niż 50 000 zł.</w:t>
      </w:r>
    </w:p>
    <w:p>
      <w:pPr>
        <w:pStyle w:val="Normal"/>
        <w:spacing w:lineRule="auto" w:line="276" w:before="0" w:after="120"/>
        <w:ind w:left="0" w:hanging="0"/>
        <w:jc w:val="both"/>
        <w:rPr>
          <w:szCs w:val="24"/>
        </w:rPr>
      </w:pPr>
      <w:r>
        <w:rPr>
          <w:szCs w:val="24"/>
        </w:rPr>
        <w:t>11. Jakakolwiek przerwa w realizacji przedmiotu umowy wynikająca z braku Podwykonawcy będzie traktowana jako przerwa wynikająca z przyczyn zależnych od Wykonawcy i nie może stanowić podstawy do zmiany terminu zakończenia robót.</w:t>
      </w:r>
    </w:p>
    <w:p>
      <w:pPr>
        <w:pStyle w:val="Normal"/>
        <w:spacing w:lineRule="auto" w:line="276" w:before="0" w:after="120"/>
        <w:ind w:left="0" w:hanging="0"/>
        <w:jc w:val="both"/>
        <w:rPr>
          <w:szCs w:val="24"/>
        </w:rPr>
      </w:pPr>
      <w:r>
        <w:rPr>
          <w:szCs w:val="24"/>
        </w:rPr>
        <w:t>12. Umowy Wykonawcy z podwykonawcami, podwykonawcami lub dalszymi podwykonawcami powinny być zawarte na piśmie pod rygorem nieważności.</w:t>
      </w:r>
    </w:p>
    <w:p>
      <w:pPr>
        <w:pStyle w:val="Normal"/>
        <w:spacing w:lineRule="auto" w:line="276" w:before="0" w:after="120"/>
        <w:ind w:left="0" w:hanging="0"/>
        <w:jc w:val="both"/>
        <w:rPr>
          <w:szCs w:val="24"/>
        </w:rPr>
      </w:pPr>
      <w:r>
        <w:rPr>
          <w:szCs w:val="24"/>
        </w:rPr>
        <w:t xml:space="preserve">13. Termin zapłaty wynagrodzenia podwykonawcy lub dalszemu podwykonawcy przewidziany w umowie </w:t>
        <w:br/>
        <w:t>o podwykonawstwo nie może być dłuższy niż 21 dni od dnia doręczenia Wykonawcy, podwykonawcy lub dalszemu podwykonawcy faktury lub rachunku, potwierdzających wykonanie zleconej podwykonawcy lub dalszemu podwykonawcy dostawy, usługi lub roboty budowlanej. Jeżeli termin zapłaty wynagrodzenia Podwykonawcy lub dalszemu podwykonawcy jest dłuższy niż 21 dni zamawiający informuje o tym wykonawcę lub podwykonawcę i wzywa go do doprowadzenia do zmiany tej umowy pod rygorem wystąpienia o zapłatę kary umownej.</w:t>
      </w:r>
    </w:p>
    <w:p>
      <w:pPr>
        <w:pStyle w:val="Normal"/>
        <w:spacing w:lineRule="auto" w:line="276" w:before="0" w:after="120"/>
        <w:ind w:left="0" w:hanging="0"/>
        <w:jc w:val="both"/>
        <w:rPr>
          <w:szCs w:val="24"/>
        </w:rPr>
      </w:pPr>
      <w:r>
        <w:rPr>
          <w:szCs w:val="24"/>
        </w:rPr>
        <w:t>14. Wykonawca jest odpowiedzialny za działania, zaniechania, uchybienia i zaniedbania podwykonawców jak za własne. Na roboty wykonane przez podwykonawców gwarancji udziela Wykonawca, który ponosi wobec Zamawiającego pełną odpowiedzialność z tytułu niewykonania lub nienależytego wykonania robót przez podwykonawców. Wykonawca zobowiązany jest zapewnić właściwą koordynację robót powierzonych poszczególnym podwykonawcom.</w:t>
      </w:r>
    </w:p>
    <w:p>
      <w:pPr>
        <w:pStyle w:val="Normal"/>
        <w:spacing w:lineRule="auto" w:line="276" w:before="0" w:after="120"/>
        <w:ind w:left="0" w:hanging="0"/>
        <w:jc w:val="both"/>
        <w:rPr>
          <w:szCs w:val="24"/>
        </w:rPr>
      </w:pPr>
      <w:r>
        <w:rPr>
          <w:szCs w:val="24"/>
        </w:rPr>
        <w:t>15. Jeżeli zmiana albo rezygnacja z podwykonawcy dotyczy podmiotu, na którego zasoby wykonawca powoływał się, na zasadach określonych w art. 22a ust. 1,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pPr>
        <w:pStyle w:val="Normal"/>
        <w:spacing w:lineRule="auto" w:line="276" w:before="0" w:after="120"/>
        <w:ind w:left="0" w:hanging="0"/>
        <w:jc w:val="both"/>
        <w:rPr>
          <w:szCs w:val="24"/>
        </w:rPr>
      </w:pPr>
      <w:r>
        <w:rPr>
          <w:szCs w:val="24"/>
        </w:rPr>
        <w:t xml:space="preserve">16. W przypadku powierzenia przez Wykonawcę realizacji zadania Podwykonawcy, dalszemu Podwykonawcy, Wykonawca, Podwykonawca, dalszy Podwykonawca zobowiązany jest do dokonania we własnym zakresie zapłaty wynagrodzenia należnego Podwykonawcy, dalszemu Podwykonawcy </w:t>
        <w:br/>
        <w:t>z zachowaniem terminów płatności określonych w umowie z Podwykonawcą, dalszym Podwykonawcą.</w:t>
      </w:r>
    </w:p>
    <w:p>
      <w:pPr>
        <w:pStyle w:val="Normal"/>
        <w:spacing w:lineRule="auto" w:line="276" w:before="0" w:after="120"/>
        <w:ind w:left="0" w:hanging="0"/>
        <w:jc w:val="both"/>
        <w:rPr>
          <w:szCs w:val="24"/>
        </w:rPr>
      </w:pPr>
      <w:r>
        <w:rPr>
          <w:szCs w:val="24"/>
        </w:rPr>
        <w:t xml:space="preserve">17. Zamawiający dokonuje bezpośredniej zapłaty wymagalnego wynagrodzenia przysługującego podwykonawcy lub dalszemu podwykonawcy, który zawarł zaakceptowaną przez Zamawiającego umowę </w:t>
        <w:br/>
        <w:t>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na zasadach określonych a w art. 143c ustawy Prawo zamówień publicznych.</w:t>
      </w:r>
    </w:p>
    <w:p>
      <w:pPr>
        <w:pStyle w:val="Normal"/>
        <w:spacing w:lineRule="auto" w:line="276" w:before="0" w:after="120"/>
        <w:ind w:left="0" w:hanging="0"/>
        <w:jc w:val="both"/>
        <w:rPr>
          <w:szCs w:val="24"/>
        </w:rPr>
      </w:pPr>
      <w:r>
        <w:rPr>
          <w:szCs w:val="24"/>
        </w:rPr>
        <w:t>18. Postanowienia niniejszego paragrafu stosuje się odpowiednio do zmian zawartych umów podwykonawczych oraz zmian zakresu zadania powierzonego do wykonania przez podwykonawców.</w:t>
      </w:r>
    </w:p>
    <w:p>
      <w:pPr>
        <w:pStyle w:val="Normal"/>
        <w:spacing w:lineRule="auto" w:line="276" w:before="0" w:after="120"/>
        <w:ind w:left="0" w:hanging="0"/>
        <w:jc w:val="both"/>
        <w:rPr>
          <w:szCs w:val="24"/>
        </w:rPr>
      </w:pPr>
      <w:r>
        <w:rPr>
          <w:szCs w:val="24"/>
        </w:rPr>
        <w:t xml:space="preserve">19. Wynagrodzenie, o którym mowa w ust. 17, dotyczy wyłącznie należności powstałych po zaakceptowaniu przez Zamawiającego umowy o podwykonawstwo, której przedmiotem są roboty budowlane, lub po przedłożeniu Zamawiającemu poświadczonej za zgodność z oryginałem kopii umowy </w:t>
        <w:br/>
        <w:t>o podwykonawstwo, której przedmiotem są dostawy lub usługi.</w:t>
      </w:r>
    </w:p>
    <w:p>
      <w:pPr>
        <w:pStyle w:val="Normal"/>
        <w:spacing w:lineRule="auto" w:line="276" w:before="0" w:after="120"/>
        <w:ind w:left="0" w:hanging="0"/>
        <w:jc w:val="both"/>
        <w:rPr>
          <w:szCs w:val="24"/>
        </w:rPr>
      </w:pPr>
      <w:r>
        <w:rPr>
          <w:szCs w:val="24"/>
        </w:rPr>
        <w:t>20. Bezpośrednia zapłata obejmuje wyłącznie należne wynagrodzenie, bez odsetek, należnych podwykonawcy lub dalszemu podwykonawcy.</w:t>
      </w:r>
    </w:p>
    <w:p>
      <w:pPr>
        <w:pStyle w:val="Normal"/>
        <w:spacing w:lineRule="auto" w:line="276" w:before="0" w:after="120"/>
        <w:ind w:left="0" w:hanging="0"/>
        <w:jc w:val="both"/>
        <w:rPr>
          <w:szCs w:val="24"/>
        </w:rPr>
      </w:pPr>
      <w:r>
        <w:rPr>
          <w:szCs w:val="24"/>
        </w:rPr>
        <w:t>21. W przypadku zatrudnienia przez Wykonawcę do realizacji zamówienia w zakresie umownych robót podwykonawców, Wykonawca zobowiązany jest załączyć do wystawionej przez siebie faktury:</w:t>
      </w:r>
    </w:p>
    <w:p>
      <w:pPr>
        <w:pStyle w:val="Normal"/>
        <w:spacing w:lineRule="auto" w:line="276" w:before="0" w:after="120"/>
        <w:ind w:left="0" w:hanging="0"/>
        <w:jc w:val="both"/>
        <w:rPr>
          <w:szCs w:val="24"/>
        </w:rPr>
      </w:pPr>
      <w:r>
        <w:rPr>
          <w:szCs w:val="24"/>
        </w:rPr>
        <w:t>1) zestawienie należności dla wszystkich podwykonawców wraz z kopiami wystawionych przez nich faktur;</w:t>
      </w:r>
    </w:p>
    <w:p>
      <w:pPr>
        <w:pStyle w:val="Normal"/>
        <w:spacing w:lineRule="auto" w:line="276" w:before="0" w:after="120"/>
        <w:ind w:left="0" w:hanging="0"/>
        <w:jc w:val="both"/>
        <w:rPr>
          <w:szCs w:val="24"/>
        </w:rPr>
      </w:pPr>
      <w:r>
        <w:rPr>
          <w:szCs w:val="24"/>
        </w:rPr>
        <w:t>2) dowodów zapłaty zobowiązań wobec podwykonawców lub dalszych podwykonawców wynikających z faktur podwykonawców. Dowodem zapłaty jest kopia polecenia przelewu.</w:t>
      </w:r>
    </w:p>
    <w:p>
      <w:pPr>
        <w:pStyle w:val="Normal"/>
        <w:spacing w:lineRule="auto" w:line="276" w:before="0" w:after="120"/>
        <w:ind w:left="0" w:hanging="0"/>
        <w:jc w:val="both"/>
        <w:rPr>
          <w:szCs w:val="24"/>
        </w:rPr>
      </w:pPr>
      <w:r>
        <w:rPr>
          <w:szCs w:val="24"/>
        </w:rPr>
        <w:t>3) oświadczenia podwykonawców lub dalszych podwykonawców, złożone nie wcześniej niż w dniu wystawienia faktury przez Wykonawcę, że Wykonawca nie zalega z żadnymi zobowiązaniami w stosunku do podwykonawców, lub dalszych podwykonawców wynikającymi z umowy podwykonawstwa.</w:t>
      </w:r>
    </w:p>
    <w:p>
      <w:pPr>
        <w:pStyle w:val="Normal"/>
        <w:spacing w:lineRule="auto" w:line="276" w:before="0" w:after="120"/>
        <w:ind w:left="0" w:hanging="0"/>
        <w:jc w:val="both"/>
        <w:rPr>
          <w:szCs w:val="24"/>
        </w:rPr>
      </w:pPr>
      <w:r>
        <w:rPr>
          <w:szCs w:val="24"/>
        </w:rPr>
        <w:t>22. Zamawiający jest uprawniony do wstrzymania zapłaty wynagrodzenia na rzecz Wykonawcy do czasu uregulowania jego zobowiązań wobec podwykonawców lub dalszych podwykonawców. Jeśli opóźnienie w zapłacie wymagalnego należnego podwykonawcom lub dalszym wynagrodzenia przekroczy 30 dni, Zamawiający ma prawo dokonać zapłaty kwoty należnej Podwykonawcom bezpośrednio na jego rzecz pomniejszając Wykonawcy wynagrodzenie o zapłacone Podwykonawcy kwoty.</w:t>
      </w:r>
    </w:p>
    <w:p>
      <w:pPr>
        <w:pStyle w:val="Normal"/>
        <w:spacing w:lineRule="auto" w:line="276" w:before="0" w:after="120"/>
        <w:ind w:left="0" w:hanging="0"/>
        <w:jc w:val="both"/>
        <w:rPr>
          <w:szCs w:val="24"/>
        </w:rPr>
      </w:pPr>
      <w:r>
        <w:rPr>
          <w:szCs w:val="24"/>
        </w:rPr>
        <w:t>23. W razie odmowy zapłaty wynagrodzenia na rzecz podwykonawcy lub dalszemu podwykonawcy, Wykonawca przedstawi Zamawiającemu przyczyny odmowy zapłaty (uwagi) oraz szczegółowo umotywuje Zamawiającemu, iż nie narusza to prawa ani warunków jego umowy z podwykonawcą w terminie 7 dni, od dnia wystąpienia o uzasadnienie przez Zamawiającego. Zamawiającemu przysługuje w takiej sytuacji prawo szczegółowego zbadania wywiązywania się Wykonawcy z warunków umowy z podwykonawcą, a także domagania się od podwykonawcy złożenia stosownych oświadczeń oraz udostępnienia dokumentów umownych.</w:t>
      </w:r>
    </w:p>
    <w:p>
      <w:pPr>
        <w:pStyle w:val="Normal"/>
        <w:spacing w:lineRule="auto" w:line="276" w:before="0" w:after="120"/>
        <w:ind w:left="0" w:hanging="0"/>
        <w:jc w:val="both"/>
        <w:rPr>
          <w:szCs w:val="24"/>
        </w:rPr>
      </w:pPr>
      <w:r>
        <w:rPr>
          <w:szCs w:val="24"/>
        </w:rPr>
        <w:t>24. Bezpośrednia zapłata obejmuje wyłącznie należne wynagrodzenie, bez odsetek, należnych podwykonawcy lub dalszemu podwykonawcy.</w:t>
      </w:r>
    </w:p>
    <w:p>
      <w:pPr>
        <w:pStyle w:val="Normal"/>
        <w:spacing w:lineRule="auto" w:line="276" w:before="0" w:after="120"/>
        <w:ind w:left="0" w:hanging="0"/>
        <w:jc w:val="both"/>
        <w:rPr>
          <w:szCs w:val="24"/>
        </w:rPr>
      </w:pPr>
      <w:r>
        <w:rPr>
          <w:szCs w:val="24"/>
        </w:rPr>
        <w:t>25. Zamawiający nie ponosi odpowiedzialności za zapłatę wynagrodzenia za roboty budowlane wykonane przez Podwykonawcę w przypadku:</w:t>
      </w:r>
    </w:p>
    <w:p>
      <w:pPr>
        <w:pStyle w:val="Normal"/>
        <w:spacing w:lineRule="auto" w:line="276" w:before="0" w:after="120"/>
        <w:ind w:left="0" w:hanging="0"/>
        <w:jc w:val="both"/>
        <w:rPr>
          <w:szCs w:val="24"/>
        </w:rPr>
      </w:pPr>
      <w:r>
        <w:rPr>
          <w:szCs w:val="24"/>
        </w:rPr>
        <w:t>1) zawarcia umowy z Podwykonawcą lub zmiany Podwykonawcy, bez zgody Zamawiającego;</w:t>
      </w:r>
    </w:p>
    <w:p>
      <w:pPr>
        <w:pStyle w:val="Normal"/>
        <w:spacing w:lineRule="auto" w:line="276" w:before="0" w:after="120"/>
        <w:ind w:left="0" w:hanging="0"/>
        <w:jc w:val="both"/>
        <w:rPr>
          <w:szCs w:val="24"/>
        </w:rPr>
      </w:pPr>
      <w:r>
        <w:rPr>
          <w:szCs w:val="24"/>
        </w:rPr>
        <w:t>2) zmiany warunków umowy z Podwykonawcą bez zgody Zamawiającego;</w:t>
      </w:r>
    </w:p>
    <w:p>
      <w:pPr>
        <w:pStyle w:val="Normal"/>
        <w:spacing w:lineRule="auto" w:line="276" w:before="0" w:after="120"/>
        <w:ind w:left="0" w:hanging="0"/>
        <w:jc w:val="both"/>
        <w:rPr>
          <w:szCs w:val="24"/>
        </w:rPr>
      </w:pPr>
      <w:r>
        <w:rPr>
          <w:szCs w:val="24"/>
        </w:rPr>
        <w:t>3) nieuwzględnienia sprzeciwu lub zastrzeżeń do umowy z Podwykonawcą zgłoszonych przez Zamawiającego lub innego naruszenia art. 647 1 Kodeksu cywilnego.</w:t>
      </w:r>
    </w:p>
    <w:p>
      <w:pPr>
        <w:pStyle w:val="Normal"/>
        <w:spacing w:lineRule="auto" w:line="276" w:before="0" w:after="120"/>
        <w:ind w:left="0" w:hanging="0"/>
        <w:jc w:val="both"/>
        <w:rPr>
          <w:szCs w:val="24"/>
        </w:rPr>
      </w:pPr>
      <w:r>
        <w:rPr>
          <w:szCs w:val="24"/>
        </w:rPr>
        <w:t>26. Wykonawca zobowiązuje się koordynować prace realizowane przez podwykonawców, z zastrzeżeniem, że Stroną dla Zamawiającego będzie w każdym przypadku Wykonawca.</w:t>
      </w:r>
    </w:p>
    <w:p>
      <w:pPr>
        <w:pStyle w:val="Normal"/>
        <w:spacing w:lineRule="auto" w:line="276" w:before="0" w:after="120"/>
        <w:ind w:left="0" w:hanging="0"/>
        <w:jc w:val="both"/>
        <w:rPr>
          <w:szCs w:val="24"/>
        </w:rPr>
      </w:pPr>
      <w:r>
        <w:rPr>
          <w:szCs w:val="24"/>
        </w:rPr>
        <w:t>27. Konieczność 3-krotnego dokonywania bezpośredniej zapłaty podwykonawcy lub dalszemu podwykonawcy, o których mowa w ust.14, lub konieczność dokonania bezpośrednich zapłat na sumę większą niż 5% wartości umowy w sprawie zamówienia publicznego może stanowić podstawę do odstąpienia od umowy w sprawie zamówienia publicznego przez Zamawiającego.</w:t>
      </w:r>
    </w:p>
    <w:p>
      <w:pPr>
        <w:pStyle w:val="Normal"/>
        <w:spacing w:lineRule="auto" w:line="276" w:before="0" w:after="120"/>
        <w:ind w:left="0" w:hanging="0"/>
        <w:jc w:val="both"/>
        <w:rPr>
          <w:szCs w:val="24"/>
        </w:rPr>
      </w:pPr>
      <w:r>
        <w:rPr>
          <w:szCs w:val="24"/>
        </w:rPr>
        <w:t>28. Projekty umów o podwykonawstwo, jej zmiany lub kopie poświadczonych umów, aneksów Wykonawca przekazywać będzie wyłącznie przez kancelarię Zamawiającego.</w:t>
      </w:r>
    </w:p>
    <w:p>
      <w:pPr>
        <w:pStyle w:val="Artyku"/>
        <w:numPr>
          <w:ilvl w:val="0"/>
          <w:numId w:val="1"/>
        </w:numPr>
        <w:rPr/>
      </w:pPr>
      <w:bookmarkStart w:id="13" w:name="_Toc496698274"/>
      <w:r>
        <w:rPr/>
        <w:t>Miejsce oraz termin składania ofert</w:t>
      </w:r>
      <w:bookmarkEnd w:id="13"/>
    </w:p>
    <w:p>
      <w:pPr>
        <w:pStyle w:val="Normal"/>
        <w:spacing w:lineRule="auto" w:line="252"/>
        <w:ind w:left="0" w:firstLine="284"/>
        <w:rPr>
          <w:rFonts w:eastAsia="Calibri"/>
          <w:b/>
          <w:b/>
          <w:bCs/>
          <w:szCs w:val="18"/>
        </w:rPr>
      </w:pPr>
      <w:r>
        <w:rPr>
          <w:rFonts w:eastAsia="Calibri"/>
          <w:b/>
          <w:bCs/>
          <w:szCs w:val="18"/>
        </w:rPr>
      </w:r>
    </w:p>
    <w:p>
      <w:pPr>
        <w:pStyle w:val="Normal"/>
        <w:spacing w:lineRule="auto" w:line="276" w:before="0" w:after="120"/>
        <w:ind w:left="0" w:hanging="0"/>
        <w:jc w:val="both"/>
        <w:rPr/>
      </w:pPr>
      <w:r>
        <w:rPr>
          <w:szCs w:val="18"/>
        </w:rPr>
        <w:t xml:space="preserve">1. Oferty muszą być złożone w siedzibie </w:t>
      </w:r>
      <w:r>
        <w:rPr>
          <w:b/>
          <w:bCs/>
          <w:szCs w:val="18"/>
        </w:rPr>
        <w:t xml:space="preserve">Zamawiającego: Urząd  Gminy w Miłosławiu, </w:t>
        <w:br/>
        <w:t xml:space="preserve">ul. Wrzesińska 19 – </w:t>
      </w:r>
      <w:r>
        <w:rPr>
          <w:bCs/>
          <w:szCs w:val="18"/>
        </w:rPr>
        <w:t>Sekretariat pokój nr 24</w:t>
      </w:r>
      <w:r>
        <w:rPr>
          <w:b/>
          <w:bCs/>
          <w:szCs w:val="18"/>
        </w:rPr>
        <w:t xml:space="preserve">, </w:t>
      </w:r>
      <w:r>
        <w:rPr>
          <w:b/>
          <w:bCs/>
          <w:color w:val="000000"/>
          <w:szCs w:val="18"/>
        </w:rPr>
        <w:t>w terminie do dnia 24 lipca 2018 roku, do godziny 10:00 .</w:t>
      </w:r>
    </w:p>
    <w:p>
      <w:pPr>
        <w:pStyle w:val="Normal"/>
        <w:spacing w:lineRule="auto" w:line="276" w:before="0" w:after="120"/>
        <w:ind w:left="0" w:hanging="0"/>
        <w:jc w:val="both"/>
        <w:rPr>
          <w:szCs w:val="18"/>
        </w:rPr>
      </w:pPr>
      <w:r>
        <w:rPr>
          <w:szCs w:val="18"/>
        </w:rPr>
        <w:t>2. Ofertom będą nadawane numery wg kolejności wpływu.</w:t>
      </w:r>
    </w:p>
    <w:p>
      <w:pPr>
        <w:pStyle w:val="Normal"/>
        <w:spacing w:lineRule="auto" w:line="276" w:before="0" w:after="120"/>
        <w:ind w:left="0" w:hanging="0"/>
        <w:jc w:val="both"/>
        <w:rPr>
          <w:szCs w:val="18"/>
        </w:rPr>
      </w:pPr>
      <w:r>
        <w:rPr>
          <w:szCs w:val="18"/>
        </w:rPr>
        <w:t>3. Wykonawca może, przed upływem terminu do składania ofert, zmienić lub wycofać ofertę. mianowicie:</w:t>
      </w:r>
    </w:p>
    <w:p>
      <w:pPr>
        <w:pStyle w:val="Normal"/>
        <w:spacing w:lineRule="auto" w:line="276" w:before="0" w:after="120"/>
        <w:ind w:left="0" w:hanging="0"/>
        <w:jc w:val="both"/>
        <w:rPr>
          <w:szCs w:val="18"/>
        </w:rPr>
      </w:pPr>
      <w:r>
        <w:rPr>
          <w:szCs w:val="18"/>
        </w:rPr>
        <w:t xml:space="preserve">1) Wykonawca może wprowadzić zmiany do złożonej oferty pod warunkiem, że Zamawiający otrzyma pisemne zawiadomienie o wprowadzeniu zmian przed terminem składania ofert. Powiadomienie </w:t>
        <w:br/>
        <w:t>o wprowadzeniu zmian musi być złożone według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pPr>
        <w:pStyle w:val="Normal"/>
        <w:spacing w:lineRule="auto" w:line="276" w:before="0" w:after="120"/>
        <w:ind w:left="0" w:hanging="0"/>
        <w:jc w:val="both"/>
        <w:rPr>
          <w:szCs w:val="18"/>
        </w:rPr>
      </w:pPr>
      <w:r>
        <w:rPr>
          <w:szCs w:val="18"/>
        </w:rPr>
        <w:t>2) Wykonawca ma prawo przed upływem terminu składania ofert wycofać się z postępowania poprzez złożenie pisemnego powiadomienia, według tych samych zasad jak wprowadzanie zmian z napisem na kopercie "WYCOFANIE". Koperty wycofywanych ofert nie będą otwierane.</w:t>
      </w:r>
    </w:p>
    <w:p>
      <w:pPr>
        <w:pStyle w:val="Normal"/>
        <w:spacing w:lineRule="auto" w:line="276" w:before="0" w:after="120"/>
        <w:ind w:left="0" w:hanging="0"/>
        <w:jc w:val="both"/>
        <w:rPr>
          <w:szCs w:val="18"/>
        </w:rPr>
      </w:pPr>
      <w:r>
        <w:rPr>
          <w:szCs w:val="18"/>
        </w:rPr>
        <w:t>4. Oferta otrzymana przez Zamawiającego po terminie składania ofert zostanie zwrócona Wykonawcy bez otwierania.</w:t>
      </w:r>
    </w:p>
    <w:p>
      <w:pPr>
        <w:pStyle w:val="Normal"/>
        <w:spacing w:lineRule="auto" w:line="276" w:before="0" w:after="120"/>
        <w:ind w:left="0" w:hanging="0"/>
        <w:jc w:val="both"/>
        <w:rPr>
          <w:szCs w:val="18"/>
        </w:rPr>
      </w:pPr>
      <w:r>
        <w:rPr>
          <w:szCs w:val="18"/>
        </w:rPr>
        <w:t xml:space="preserve">5. Zamawiający informuje, iż zgodnie z art. 8 w zw. z art. 96 ust. 3 ustawy PZP oferty składane </w:t>
        <w:br/>
        <w:t xml:space="preserve">w postępowaniu o zamówienie publiczne są jawne i podlegają udostępnieniu od chwili ich otwarcia, </w:t>
        <w:br/>
        <w:t>z wyjątkiem informacji stanowiących tajemnicę przedsiębiorstwa w rozumieniu ustawy z dnia 16 kwietnia 1993 r. o zwalczaniu nieuczciwej konkurencji (Dz. U. z 2003 r. Nr 153, poz. 1503 z późn. zm.), jeśli Wykonawca w terminie składania ofert zastrzegł, że nie mogą one być udostępniane i jednocześnie wykazał, iż zastrzeżone informacje stanowią tajemnic przedsiębiorstwa.</w:t>
      </w:r>
    </w:p>
    <w:p>
      <w:pPr>
        <w:pStyle w:val="Normal"/>
        <w:spacing w:lineRule="auto" w:line="276" w:before="0" w:after="120"/>
        <w:ind w:left="0" w:hanging="0"/>
        <w:jc w:val="both"/>
        <w:rPr>
          <w:szCs w:val="18"/>
        </w:rPr>
      </w:pPr>
      <w:r>
        <w:rPr>
          <w:szCs w:val="18"/>
        </w:rPr>
        <w:t xml:space="preserve">6. 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oświadczenia i zaświadczenia składane w trakcie niniejszego postępowania są jawne, bez zastrzeżeń. </w:t>
      </w:r>
    </w:p>
    <w:p>
      <w:pPr>
        <w:pStyle w:val="Normal"/>
        <w:spacing w:lineRule="auto" w:line="276"/>
        <w:ind w:left="0" w:hanging="0"/>
        <w:jc w:val="both"/>
        <w:rPr>
          <w:szCs w:val="18"/>
        </w:rPr>
      </w:pPr>
      <w:r>
        <w:rPr>
          <w:szCs w:val="18"/>
        </w:rPr>
        <w:t xml:space="preserve">7. Ofertę należy umieścić w zamkniętym opakowaniu, uniemożliwiającym odczytanie zawartości bez uszkodzenia tego opakowania. Każda oferta winna być złożona w odrębnej kopercie wraz z wymaganymi dokumentami. </w:t>
      </w:r>
    </w:p>
    <w:p>
      <w:pPr>
        <w:pStyle w:val="Normal"/>
        <w:ind w:left="0" w:hanging="0"/>
        <w:jc w:val="center"/>
        <w:rPr>
          <w:szCs w:val="18"/>
        </w:rPr>
      </w:pPr>
      <w:r>
        <w:rPr>
          <w:szCs w:val="18"/>
        </w:rPr>
      </w:r>
    </w:p>
    <w:p>
      <w:pPr>
        <w:pStyle w:val="Normal"/>
        <w:ind w:left="0" w:hanging="0"/>
        <w:jc w:val="center"/>
        <w:rPr>
          <w:szCs w:val="18"/>
        </w:rPr>
      </w:pPr>
      <w:r>
        <w:rPr>
          <w:szCs w:val="18"/>
        </w:rPr>
        <w:t>Opakowanie winno być oznaczone nazwą (firmą) i adresem Wykonawcy, zaadresowane</w:t>
      </w:r>
    </w:p>
    <w:p>
      <w:pPr>
        <w:pStyle w:val="Normal"/>
        <w:ind w:left="0" w:hanging="0"/>
        <w:jc w:val="center"/>
        <w:rPr>
          <w:b/>
          <w:b/>
          <w:bCs/>
          <w:szCs w:val="18"/>
        </w:rPr>
      </w:pPr>
      <w:r>
        <w:rPr>
          <w:b/>
          <w:bCs/>
          <w:szCs w:val="18"/>
        </w:rPr>
        <w:t>Urząd Gminy w Miłosławiu ul. Wrzesińska 19 , 62-320 Miłosław</w:t>
      </w:r>
    </w:p>
    <w:p>
      <w:pPr>
        <w:pStyle w:val="Normal"/>
        <w:ind w:left="0" w:hanging="0"/>
        <w:jc w:val="center"/>
        <w:rPr>
          <w:szCs w:val="18"/>
        </w:rPr>
      </w:pPr>
      <w:r>
        <w:rPr>
          <w:szCs w:val="18"/>
        </w:rPr>
        <w:t>oraz opisane:</w:t>
      </w:r>
    </w:p>
    <w:p>
      <w:pPr>
        <w:pStyle w:val="Normal"/>
        <w:ind w:left="0" w:hanging="0"/>
        <w:jc w:val="both"/>
        <w:rPr>
          <w:sz w:val="20"/>
          <w:szCs w:val="14"/>
        </w:rPr>
      </w:pPr>
      <w:r>
        <w:rPr>
          <w:sz w:val="20"/>
          <w:szCs w:val="14"/>
        </w:rPr>
      </w:r>
    </w:p>
    <w:p>
      <w:pPr>
        <w:pStyle w:val="Normal"/>
        <w:spacing w:lineRule="auto" w:line="252"/>
        <w:ind w:left="0" w:hanging="0"/>
        <w:jc w:val="center"/>
        <w:rPr>
          <w:b/>
          <w:b/>
          <w:bCs/>
          <w:szCs w:val="28"/>
        </w:rPr>
      </w:pPr>
      <w:r>
        <w:rPr>
          <w:b/>
          <w:bCs/>
          <w:color w:val="000000"/>
          <w:sz w:val="28"/>
          <w:szCs w:val="28"/>
        </w:rPr>
        <w:t xml:space="preserve">Przebudowa ul. Wierzbowej, Leszczynowej i Kasztanowej </w:t>
        <w:br/>
        <w:t>w Orzechowie – Etap I</w:t>
      </w:r>
    </w:p>
    <w:p>
      <w:pPr>
        <w:pStyle w:val="Normal"/>
        <w:spacing w:lineRule="auto" w:line="252"/>
        <w:ind w:left="0" w:hanging="0"/>
        <w:jc w:val="center"/>
        <w:rPr>
          <w:b/>
          <w:b/>
          <w:bCs/>
          <w:szCs w:val="28"/>
        </w:rPr>
      </w:pPr>
      <w:r>
        <w:rPr>
          <w:b/>
          <w:bCs/>
          <w:szCs w:val="28"/>
        </w:rPr>
      </w:r>
    </w:p>
    <w:p>
      <w:pPr>
        <w:pStyle w:val="Normal"/>
        <w:ind w:left="0" w:hanging="0"/>
        <w:jc w:val="center"/>
        <w:rPr/>
      </w:pPr>
      <w:r>
        <w:rPr>
          <w:b/>
          <w:bCs/>
          <w:szCs w:val="18"/>
        </w:rPr>
        <w:t>Nie otwierać przed 24 lipca</w:t>
      </w:r>
      <w:r>
        <w:rPr>
          <w:b/>
          <w:bCs/>
          <w:color w:val="CE181E"/>
          <w:szCs w:val="18"/>
        </w:rPr>
        <w:t xml:space="preserve"> </w:t>
      </w:r>
      <w:r>
        <w:rPr>
          <w:b/>
          <w:bCs/>
          <w:szCs w:val="18"/>
        </w:rPr>
        <w:t>2018</w:t>
      </w:r>
      <w:r>
        <w:rPr>
          <w:b/>
          <w:bCs/>
          <w:color w:val="CE181E"/>
          <w:szCs w:val="18"/>
        </w:rPr>
        <w:t xml:space="preserve"> </w:t>
      </w:r>
      <w:r>
        <w:rPr>
          <w:b/>
          <w:bCs/>
          <w:szCs w:val="18"/>
        </w:rPr>
        <w:t>roku, do godziny 10:30</w:t>
      </w:r>
    </w:p>
    <w:p>
      <w:pPr>
        <w:pStyle w:val="Normal"/>
        <w:ind w:left="0" w:hanging="0"/>
        <w:jc w:val="both"/>
        <w:rPr>
          <w:b/>
          <w:b/>
          <w:bCs/>
          <w:sz w:val="36"/>
        </w:rPr>
      </w:pPr>
      <w:r>
        <w:rPr>
          <w:b/>
          <w:bCs/>
          <w:sz w:val="36"/>
        </w:rPr>
      </w:r>
    </w:p>
    <w:p>
      <w:pPr>
        <w:pStyle w:val="Normal"/>
        <w:spacing w:before="0" w:after="120"/>
        <w:ind w:left="0" w:hanging="0"/>
        <w:rPr/>
      </w:pPr>
      <w:r>
        <w:rPr>
          <w:szCs w:val="18"/>
        </w:rPr>
        <w:t xml:space="preserve">8. Publiczna sesja otwarcia ofert odbędzie się w siedzibie Zamawiającego: </w:t>
        <w:br/>
        <w:t xml:space="preserve">              </w:t>
      </w:r>
      <w:r>
        <w:rPr>
          <w:b/>
          <w:bCs/>
          <w:szCs w:val="18"/>
        </w:rPr>
        <w:t>Sala narad,  dnia 24 lipca 2018 r., o godzinie 10:30.</w:t>
      </w:r>
    </w:p>
    <w:p>
      <w:pPr>
        <w:pStyle w:val="Normal"/>
        <w:ind w:left="0" w:hanging="0"/>
        <w:jc w:val="both"/>
        <w:rPr>
          <w:szCs w:val="18"/>
        </w:rPr>
      </w:pPr>
      <w:r>
        <w:rPr>
          <w:szCs w:val="18"/>
        </w:rPr>
        <w:t>9. Zamawiający bezpośrednio przed otwarciem ofert poda kwotę, jaką zamierza przeznaczyć na sfinansowanie zamówienia.</w:t>
      </w:r>
    </w:p>
    <w:p>
      <w:pPr>
        <w:pStyle w:val="Normal"/>
        <w:ind w:left="360" w:hanging="0"/>
        <w:rPr>
          <w:rFonts w:eastAsia="Calibri"/>
          <w:sz w:val="18"/>
          <w:szCs w:val="18"/>
        </w:rPr>
      </w:pPr>
      <w:r>
        <w:rPr>
          <w:rFonts w:eastAsia="Calibri"/>
          <w:sz w:val="18"/>
          <w:szCs w:val="18"/>
        </w:rPr>
      </w:r>
    </w:p>
    <w:p>
      <w:pPr>
        <w:pStyle w:val="Artyku"/>
        <w:numPr>
          <w:ilvl w:val="0"/>
          <w:numId w:val="1"/>
        </w:numPr>
        <w:rPr>
          <w:szCs w:val="18"/>
        </w:rPr>
      </w:pPr>
      <w:bookmarkStart w:id="14" w:name="_Toc496698275"/>
      <w:r>
        <w:rPr>
          <w:szCs w:val="18"/>
        </w:rPr>
        <w:t>Opis sposobu obliczenia ceny</w:t>
      </w:r>
      <w:bookmarkEnd w:id="14"/>
    </w:p>
    <w:p>
      <w:pPr>
        <w:pStyle w:val="Normal"/>
        <w:spacing w:lineRule="auto" w:line="252"/>
        <w:ind w:left="0" w:firstLine="426"/>
        <w:jc w:val="both"/>
        <w:rPr>
          <w:rFonts w:eastAsia="Calibri"/>
          <w:b/>
          <w:b/>
          <w:bCs/>
          <w:szCs w:val="18"/>
        </w:rPr>
      </w:pPr>
      <w:r>
        <w:rPr>
          <w:rFonts w:eastAsia="Calibri"/>
          <w:b/>
          <w:bCs/>
          <w:szCs w:val="18"/>
        </w:rPr>
      </w:r>
    </w:p>
    <w:p>
      <w:pPr>
        <w:pStyle w:val="Normal"/>
        <w:spacing w:lineRule="auto" w:line="276" w:before="0" w:after="120"/>
        <w:ind w:left="0" w:hanging="0"/>
        <w:jc w:val="both"/>
        <w:rPr>
          <w:szCs w:val="18"/>
        </w:rPr>
      </w:pPr>
      <w:r>
        <w:rPr>
          <w:szCs w:val="18"/>
        </w:rPr>
        <w:t xml:space="preserve">1. Cena oferty uwzględnia wszystkie zobowiązania, musi być podana w PLN cyfrowo i słownie, </w:t>
        <w:br/>
        <w:t>z wyodrębnieniem należnego podatku VAT.</w:t>
      </w:r>
    </w:p>
    <w:p>
      <w:pPr>
        <w:pStyle w:val="Normal"/>
        <w:spacing w:lineRule="auto" w:line="276" w:before="0" w:after="120"/>
        <w:ind w:left="0" w:hanging="0"/>
        <w:jc w:val="both"/>
        <w:rPr>
          <w:szCs w:val="18"/>
        </w:rPr>
      </w:pPr>
      <w:r>
        <w:rPr>
          <w:szCs w:val="18"/>
        </w:rPr>
        <w:t>2. Cena może być tylko jedna. Cena nie ulega zmianie przez okres ważności oferty (związania ofertą).</w:t>
      </w:r>
    </w:p>
    <w:p>
      <w:pPr>
        <w:pStyle w:val="Normal"/>
        <w:spacing w:lineRule="auto" w:line="276" w:before="0" w:after="120"/>
        <w:ind w:left="0" w:hanging="0"/>
        <w:jc w:val="both"/>
        <w:rPr>
          <w:szCs w:val="18"/>
        </w:rPr>
      </w:pPr>
      <w:r>
        <w:rPr>
          <w:szCs w:val="18"/>
        </w:rPr>
        <w:t xml:space="preserve">3. Cena podana w ofercie powinna obejmować wszystkie koszty i składniki związane z wykonaniem zamówienia wynikające wprost z przedmiaru robót, dokumentacji budowlanej i STW i OR, jak również następujące koszty: wszelkie roboty przygotowawcze, porządkowe, przywrócenia terenu do stanu pierwotnego, związane z wywozem i składowaniem materiałów, projektu organizacji placu budowy wraz </w:t>
        <w:br/>
        <w:t>z jego organizacją i późniejszą likwidacją oraz koszty związane z obsługą geodezyjną zadania w tym dokumentacji powykonawczej, koszty poboru energii elektrycznej i wody zużytej w trakcie realizacji zadania oraz koszty ubezpieczenia budowy i robót z tytułu szkód, które mogą zaistnieć w związku za zdarzeniami losowymi, odpowiedzialności cywilnej oraz następstw nieszczęśliwych wypadków, dotyczących pracowników i osób trzecich, które to wypadki mogą powstać w związku z prowadzonymi robotami budowlanymi, a w tym z ruchem pojazdów mechanicznych oraz innych zobowiązań wynikających z umowy.</w:t>
      </w:r>
    </w:p>
    <w:p>
      <w:pPr>
        <w:pStyle w:val="Normal"/>
        <w:spacing w:lineRule="auto" w:line="276" w:before="0" w:after="120"/>
        <w:ind w:left="0" w:hanging="0"/>
        <w:jc w:val="both"/>
        <w:rPr>
          <w:szCs w:val="18"/>
        </w:rPr>
      </w:pPr>
      <w:r>
        <w:rPr>
          <w:szCs w:val="18"/>
        </w:rPr>
        <w:t xml:space="preserve">4. Cenę za wykonanie poszczególnych rodzajów robót należy przedstawić </w:t>
      </w:r>
      <w:r>
        <w:rPr>
          <w:b/>
          <w:bCs/>
          <w:szCs w:val="18"/>
        </w:rPr>
        <w:t xml:space="preserve">w kosztorysie ofertowym dołączonym do oferty </w:t>
      </w:r>
      <w:r>
        <w:rPr>
          <w:szCs w:val="18"/>
        </w:rPr>
        <w:t>wg załączonych przedmiarów.</w:t>
      </w:r>
    </w:p>
    <w:p>
      <w:pPr>
        <w:pStyle w:val="Normal"/>
        <w:spacing w:lineRule="auto" w:line="276"/>
        <w:ind w:left="0" w:hanging="0"/>
        <w:jc w:val="both"/>
        <w:rPr>
          <w:szCs w:val="18"/>
        </w:rPr>
      </w:pPr>
      <w:r>
        <w:rPr>
          <w:szCs w:val="18"/>
        </w:rPr>
        <w:t xml:space="preserve">5. W przypadku braku jakiejkolwiek pozycji w kosztorysie ofertowym Zamawiający może wezwać Wykonawcę do złożenia pisemnych wyjaśnień w celu ustalenia rzeczywistej treści oferty oraz jej charakteru i rodzaju jak i zarówno dla samej potrzeby wprowadzenia ewentualnych zmian. Ponadto Zamawiający na podstawie art. 87 ust. 2 pkt. 3 ustawy poprawi inne omyłki polegające na niezgodności oferty ze specyfikacją istotnych warunków zamówienia tj. uzupełni kosztorys ofertowy o brakującą pozycję </w:t>
        <w:br/>
        <w:t>i przyjmie, iż cena jednostkowa tej pozycji wynosi 0 zł (przyjmując, że cena została uwzględniona w innych pozycjach kosztorysu ofertowego) powiadamiając o tym niezwłocznie Wykonawcę.</w:t>
      </w:r>
    </w:p>
    <w:p>
      <w:pPr>
        <w:pStyle w:val="Normal"/>
        <w:spacing w:lineRule="auto" w:line="252"/>
        <w:ind w:left="0" w:hanging="0"/>
        <w:rPr>
          <w:rFonts w:eastAsia="Calibri"/>
          <w:sz w:val="18"/>
          <w:szCs w:val="18"/>
        </w:rPr>
      </w:pPr>
      <w:r>
        <w:rPr>
          <w:rFonts w:eastAsia="Calibri"/>
          <w:sz w:val="18"/>
          <w:szCs w:val="18"/>
        </w:rPr>
      </w:r>
    </w:p>
    <w:p>
      <w:pPr>
        <w:pStyle w:val="Artyku"/>
        <w:numPr>
          <w:ilvl w:val="0"/>
          <w:numId w:val="1"/>
        </w:numPr>
        <w:spacing w:lineRule="auto" w:line="276"/>
        <w:rPr/>
      </w:pPr>
      <w:bookmarkStart w:id="15" w:name="_Toc496698276"/>
      <w:r>
        <w:rPr/>
        <w:t>Kryteria oceny oferty - Wybór najkorzystniejszej oferty</w:t>
      </w:r>
      <w:bookmarkEnd w:id="15"/>
      <w:r>
        <w:rPr/>
        <w:br/>
      </w:r>
    </w:p>
    <w:p>
      <w:pPr>
        <w:pStyle w:val="Normal"/>
        <w:spacing w:lineRule="auto" w:line="276" w:before="0" w:after="120"/>
        <w:ind w:left="0" w:hanging="0"/>
        <w:jc w:val="both"/>
        <w:rPr>
          <w:szCs w:val="24"/>
        </w:rPr>
      </w:pPr>
      <w:r>
        <w:rPr>
          <w:szCs w:val="24"/>
        </w:rPr>
        <w:t>1. Zamawiający udzieli zamówienia Wykonawcy, którego oferta odpowiada zasadom określonym w ustawie prawo zamówień publicznych oraz w specyfikacji istotnych warunków zamówienia i została uznana za najkorzystniejszą.</w:t>
      </w:r>
    </w:p>
    <w:p>
      <w:pPr>
        <w:pStyle w:val="Normal"/>
        <w:spacing w:lineRule="auto" w:line="276"/>
        <w:ind w:left="0" w:hanging="0"/>
        <w:jc w:val="both"/>
        <w:rPr>
          <w:szCs w:val="24"/>
        </w:rPr>
      </w:pPr>
      <w:r>
        <w:rPr>
          <w:szCs w:val="24"/>
        </w:rPr>
        <w:t>2. Kryterium oceny ofert: Kryteria wyboru ofert będą oceniane według poniższych „wag” (znaczenia).</w:t>
      </w:r>
    </w:p>
    <w:p>
      <w:pPr>
        <w:pStyle w:val="Normal"/>
        <w:ind w:left="0" w:hanging="0"/>
        <w:jc w:val="both"/>
        <w:rPr>
          <w:szCs w:val="24"/>
        </w:rPr>
      </w:pPr>
      <w:r>
        <w:rPr>
          <w:szCs w:val="24"/>
        </w:rPr>
      </w:r>
    </w:p>
    <w:p>
      <w:pPr>
        <w:pStyle w:val="Normal"/>
        <w:ind w:left="0" w:hanging="0"/>
        <w:jc w:val="both"/>
        <w:rPr>
          <w:b/>
          <w:b/>
          <w:bCs/>
          <w:szCs w:val="24"/>
        </w:rPr>
      </w:pPr>
      <w:r>
        <w:rPr>
          <w:b/>
          <w:bCs/>
          <w:szCs w:val="24"/>
        </w:rPr>
        <w:t>2.1 CENA - 60%</w:t>
      </w:r>
    </w:p>
    <w:p>
      <w:pPr>
        <w:pStyle w:val="Normal"/>
        <w:spacing w:lineRule="auto" w:line="276"/>
        <w:ind w:left="0" w:hanging="0"/>
        <w:jc w:val="both"/>
        <w:rPr>
          <w:szCs w:val="24"/>
        </w:rPr>
      </w:pPr>
      <w:r>
        <w:rPr>
          <w:szCs w:val="24"/>
        </w:rPr>
        <w:t>Przy ocenie wysokości proponowanej ceny najwyżej będzie punktowana oferta proponująca najniższą cenę za wykonanie przedmiotu zamówienia, pozostałe oferty będą przeliczane wg wzoru:</w:t>
      </w:r>
    </w:p>
    <w:p>
      <w:pPr>
        <w:pStyle w:val="Normal"/>
        <w:ind w:left="0" w:hanging="0"/>
        <w:jc w:val="both"/>
        <w:rPr>
          <w:szCs w:val="24"/>
        </w:rPr>
      </w:pPr>
      <w:r>
        <w:rPr>
          <w:szCs w:val="24"/>
        </w:rPr>
      </w:r>
    </w:p>
    <w:p>
      <w:pPr>
        <w:pStyle w:val="Normal"/>
        <w:ind w:left="0" w:hanging="0"/>
        <w:jc w:val="both"/>
        <w:rPr>
          <w:b/>
          <w:b/>
          <w:bCs/>
          <w:szCs w:val="24"/>
        </w:rPr>
      </w:pPr>
      <w:r>
        <w:rPr>
          <w:b/>
          <w:bCs/>
          <w:szCs w:val="24"/>
        </w:rPr>
        <w:t xml:space="preserve">                  </w:t>
      </w:r>
      <w:r>
        <w:rPr>
          <w:b/>
          <w:bCs/>
          <w:szCs w:val="24"/>
        </w:rPr>
        <w:t>Cena najniższej oferty (zł)</w:t>
      </w:r>
    </w:p>
    <w:p>
      <w:pPr>
        <w:pStyle w:val="Normal"/>
        <w:ind w:left="0" w:hanging="0"/>
        <w:jc w:val="both"/>
        <w:rPr>
          <w:b/>
          <w:b/>
          <w:bCs/>
          <w:szCs w:val="24"/>
        </w:rPr>
      </w:pPr>
      <w:r>
        <w:rPr>
          <w:b/>
          <w:bCs/>
          <w:szCs w:val="24"/>
        </w:rPr>
        <w:t>CENA = ------------------------------------------ x 100,00 pkt. x 60%</w:t>
      </w:r>
    </w:p>
    <w:p>
      <w:pPr>
        <w:pStyle w:val="Normal"/>
        <w:ind w:left="0" w:hanging="0"/>
        <w:jc w:val="both"/>
        <w:rPr>
          <w:b/>
          <w:b/>
          <w:bCs/>
          <w:szCs w:val="24"/>
        </w:rPr>
      </w:pPr>
      <w:r>
        <w:rPr>
          <w:b/>
          <w:bCs/>
          <w:szCs w:val="24"/>
        </w:rPr>
        <w:t xml:space="preserve">                  </w:t>
      </w:r>
      <w:r>
        <w:rPr>
          <w:b/>
          <w:bCs/>
          <w:szCs w:val="24"/>
        </w:rPr>
        <w:t>Cena oferty badanej (zł)</w:t>
      </w:r>
    </w:p>
    <w:p>
      <w:pPr>
        <w:pStyle w:val="Normal"/>
        <w:ind w:left="0" w:hanging="0"/>
        <w:jc w:val="both"/>
        <w:rPr>
          <w:b/>
          <w:b/>
          <w:bCs/>
          <w:szCs w:val="24"/>
        </w:rPr>
      </w:pPr>
      <w:r>
        <w:rPr>
          <w:b/>
          <w:bCs/>
          <w:szCs w:val="24"/>
        </w:rPr>
      </w:r>
    </w:p>
    <w:p>
      <w:pPr>
        <w:pStyle w:val="Normal"/>
        <w:ind w:left="0" w:hanging="0"/>
        <w:jc w:val="both"/>
        <w:rPr>
          <w:szCs w:val="24"/>
        </w:rPr>
      </w:pPr>
      <w:r>
        <w:rPr>
          <w:szCs w:val="24"/>
        </w:rPr>
        <w:t>Maksymalna ilość punktów do uzyskania w kryterium CENA to 60 pkt.</w:t>
      </w:r>
    </w:p>
    <w:p>
      <w:pPr>
        <w:pStyle w:val="Normal"/>
        <w:ind w:left="0" w:hanging="0"/>
        <w:jc w:val="both"/>
        <w:rPr>
          <w:szCs w:val="24"/>
        </w:rPr>
      </w:pPr>
      <w:r>
        <w:rPr>
          <w:szCs w:val="24"/>
        </w:rPr>
      </w:r>
    </w:p>
    <w:p>
      <w:pPr>
        <w:pStyle w:val="Normal"/>
        <w:ind w:left="0" w:hanging="0"/>
        <w:jc w:val="both"/>
        <w:rPr/>
      </w:pPr>
      <w:r>
        <w:rPr>
          <w:b/>
          <w:bCs/>
          <w:szCs w:val="24"/>
        </w:rPr>
        <w:t xml:space="preserve">2.2 OKRES DODATKOWEJ GWARANCJI – </w:t>
      </w:r>
      <w:r>
        <w:rPr>
          <w:b/>
          <w:bCs/>
          <w:color w:val="000000"/>
          <w:szCs w:val="24"/>
        </w:rPr>
        <w:t>10 %</w:t>
      </w:r>
    </w:p>
    <w:p>
      <w:pPr>
        <w:pStyle w:val="Normal"/>
        <w:spacing w:lineRule="auto" w:line="276"/>
        <w:ind w:left="0" w:hanging="0"/>
        <w:jc w:val="both"/>
        <w:rPr>
          <w:szCs w:val="24"/>
        </w:rPr>
      </w:pPr>
      <w:r>
        <w:rPr>
          <w:color w:val="000000"/>
          <w:szCs w:val="24"/>
        </w:rPr>
        <w:t>Przy ocenie dodatkowej gwarancji najwyżej będzie p</w:t>
      </w:r>
      <w:r>
        <w:rPr>
          <w:szCs w:val="24"/>
        </w:rPr>
        <w:t xml:space="preserve">unktowana oferta proponująca najdłuższy okres dodatkowej gwarancji, jednak </w:t>
      </w:r>
      <w:r>
        <w:rPr>
          <w:b/>
          <w:bCs/>
          <w:szCs w:val="24"/>
        </w:rPr>
        <w:t>nie dłuższy niż 12 miesiące.</w:t>
      </w:r>
    </w:p>
    <w:p>
      <w:pPr>
        <w:pStyle w:val="Normal"/>
        <w:ind w:left="0" w:hanging="0"/>
        <w:jc w:val="both"/>
        <w:rPr>
          <w:b/>
          <w:b/>
          <w:bCs/>
          <w:sz w:val="20"/>
          <w:szCs w:val="24"/>
        </w:rPr>
      </w:pPr>
      <w:r>
        <w:rPr>
          <w:b/>
          <w:bCs/>
          <w:sz w:val="20"/>
          <w:szCs w:val="24"/>
        </w:rPr>
      </w:r>
    </w:p>
    <w:p>
      <w:pPr>
        <w:pStyle w:val="Normal"/>
        <w:ind w:left="0" w:hanging="0"/>
        <w:jc w:val="both"/>
        <w:rPr>
          <w:b/>
          <w:b/>
          <w:bCs/>
          <w:sz w:val="20"/>
          <w:szCs w:val="24"/>
        </w:rPr>
      </w:pPr>
      <w:r>
        <w:rPr>
          <w:b/>
          <w:bCs/>
          <w:sz w:val="20"/>
          <w:szCs w:val="24"/>
        </w:rPr>
        <w:t>Okres dodatkowej gwarancji badanej oferty</w:t>
      </w:r>
    </w:p>
    <w:p>
      <w:pPr>
        <w:pStyle w:val="Normal"/>
        <w:ind w:left="0" w:hanging="0"/>
        <w:jc w:val="both"/>
        <w:rPr/>
      </w:pPr>
      <w:r>
        <w:rPr>
          <w:b/>
          <w:bCs/>
          <w:sz w:val="20"/>
          <w:szCs w:val="24"/>
        </w:rPr>
        <w:t>OKRES DODATKOWEJ GWARANCJI =  ------------------------------------------------------------------- x 100,00 pkt. x</w:t>
      </w:r>
      <w:r>
        <w:rPr>
          <w:b/>
          <w:bCs/>
          <w:color w:val="000000"/>
          <w:sz w:val="20"/>
          <w:szCs w:val="24"/>
        </w:rPr>
        <w:t xml:space="preserve"> </w:t>
      </w:r>
      <w:r>
        <w:rPr>
          <w:b/>
          <w:bCs/>
          <w:color w:val="000000"/>
          <w:sz w:val="20"/>
          <w:szCs w:val="24"/>
        </w:rPr>
        <w:t>10%</w:t>
      </w:r>
    </w:p>
    <w:p>
      <w:pPr>
        <w:pStyle w:val="Normal"/>
        <w:ind w:left="0" w:hanging="0"/>
        <w:jc w:val="both"/>
        <w:rPr>
          <w:b/>
          <w:b/>
          <w:bCs/>
          <w:sz w:val="20"/>
          <w:szCs w:val="24"/>
        </w:rPr>
      </w:pPr>
      <w:r>
        <w:rPr>
          <w:b/>
          <w:bCs/>
          <w:sz w:val="20"/>
          <w:szCs w:val="24"/>
        </w:rPr>
        <w:t xml:space="preserve"> </w:t>
      </w:r>
      <w:r>
        <w:rPr>
          <w:b/>
          <w:bCs/>
          <w:sz w:val="20"/>
          <w:szCs w:val="24"/>
        </w:rPr>
        <w:t>Najdłuższy zaoferowany okres dodatkowej gwarancji</w:t>
      </w:r>
    </w:p>
    <w:p>
      <w:pPr>
        <w:pStyle w:val="Normal"/>
        <w:ind w:left="0" w:hanging="0"/>
        <w:jc w:val="both"/>
        <w:rPr>
          <w:b/>
          <w:b/>
          <w:bCs/>
          <w:szCs w:val="24"/>
        </w:rPr>
      </w:pPr>
      <w:r>
        <w:rPr>
          <w:b/>
          <w:bCs/>
          <w:szCs w:val="24"/>
        </w:rPr>
      </w:r>
    </w:p>
    <w:p>
      <w:pPr>
        <w:pStyle w:val="Normal"/>
        <w:ind w:left="0" w:hanging="0"/>
        <w:jc w:val="both"/>
        <w:rPr/>
      </w:pPr>
      <w:r>
        <w:rPr>
          <w:szCs w:val="24"/>
        </w:rPr>
        <w:t>Maksymalna ilość punktów do uzyskania w kryterium OKRES DODATKOWEJ GWARANCJI to 10 pkt.</w:t>
      </w:r>
    </w:p>
    <w:p>
      <w:pPr>
        <w:pStyle w:val="Normal"/>
        <w:ind w:left="0" w:hanging="0"/>
        <w:jc w:val="both"/>
        <w:rPr>
          <w:szCs w:val="24"/>
        </w:rPr>
      </w:pPr>
      <w:r>
        <w:rPr>
          <w:szCs w:val="24"/>
        </w:rPr>
      </w:r>
    </w:p>
    <w:p>
      <w:pPr>
        <w:pStyle w:val="Normal"/>
        <w:ind w:left="0" w:hanging="0"/>
        <w:jc w:val="both"/>
        <w:rPr>
          <w:szCs w:val="24"/>
        </w:rPr>
      </w:pPr>
      <w:r>
        <w:rPr>
          <w:szCs w:val="24"/>
        </w:rPr>
        <w:t>Przy czym:</w:t>
      </w:r>
    </w:p>
    <w:p>
      <w:pPr>
        <w:pStyle w:val="Normal"/>
        <w:spacing w:before="0" w:after="120"/>
        <w:ind w:left="0" w:hanging="0"/>
        <w:jc w:val="both"/>
        <w:rPr>
          <w:szCs w:val="24"/>
        </w:rPr>
      </w:pPr>
      <w:r>
        <w:rPr>
          <w:szCs w:val="24"/>
        </w:rPr>
        <w:t>a) Zamawiający ustala okres podstawowej gwarancji 60 miesięcy.</w:t>
      </w:r>
    </w:p>
    <w:p>
      <w:pPr>
        <w:pStyle w:val="Normal"/>
        <w:spacing w:before="0" w:after="120"/>
        <w:ind w:left="0" w:hanging="0"/>
        <w:jc w:val="both"/>
        <w:rPr>
          <w:szCs w:val="24"/>
        </w:rPr>
      </w:pPr>
      <w:r>
        <w:rPr>
          <w:szCs w:val="24"/>
        </w:rPr>
        <w:t>b) Zamawiający ustala maksymalny okres dodatkowej gwarancji 12 miesięcy.</w:t>
      </w:r>
    </w:p>
    <w:p>
      <w:pPr>
        <w:pStyle w:val="Normal"/>
        <w:spacing w:before="0" w:after="120"/>
        <w:ind w:left="0" w:hanging="0"/>
        <w:jc w:val="both"/>
        <w:rPr>
          <w:szCs w:val="24"/>
        </w:rPr>
      </w:pPr>
      <w:r>
        <w:rPr>
          <w:szCs w:val="24"/>
        </w:rPr>
        <w:t>c) Łączny okres gwarancji nie może być dłuższy niż 72 miesięcy (okres podstawowej gwarancji + okres dodatkowej gwarancji).</w:t>
      </w:r>
    </w:p>
    <w:p>
      <w:pPr>
        <w:pStyle w:val="Normal"/>
        <w:spacing w:before="0" w:after="120"/>
        <w:ind w:left="0" w:hanging="0"/>
        <w:jc w:val="both"/>
        <w:rPr>
          <w:szCs w:val="24"/>
        </w:rPr>
      </w:pPr>
      <w:r>
        <w:rPr>
          <w:szCs w:val="24"/>
        </w:rPr>
        <w:t>d) Okres gwarancji powinien zostać podany w miesiącach.</w:t>
      </w:r>
    </w:p>
    <w:p>
      <w:pPr>
        <w:pStyle w:val="Normal"/>
        <w:ind w:left="0" w:hanging="0"/>
        <w:jc w:val="both"/>
        <w:rPr>
          <w:szCs w:val="24"/>
        </w:rPr>
      </w:pPr>
      <w:r>
        <w:rPr>
          <w:szCs w:val="24"/>
        </w:rPr>
        <w:t>e) W przypadku braku wskazania w ofercie okresu dodatkowej gwarancji uznaje się że Wykonawca oferuje 60 miesięcy gwarancji podstawowej.</w:t>
      </w:r>
    </w:p>
    <w:p>
      <w:pPr>
        <w:pStyle w:val="Normal"/>
        <w:ind w:left="0" w:hanging="0"/>
        <w:jc w:val="both"/>
        <w:rPr>
          <w:szCs w:val="24"/>
        </w:rPr>
      </w:pPr>
      <w:r>
        <w:rPr>
          <w:szCs w:val="24"/>
        </w:rPr>
      </w:r>
    </w:p>
    <w:p>
      <w:pPr>
        <w:pStyle w:val="Normal"/>
        <w:ind w:left="0" w:hanging="0"/>
        <w:jc w:val="both"/>
        <w:rPr>
          <w:color w:val="CE181E"/>
        </w:rPr>
      </w:pPr>
      <w:r>
        <w:rPr>
          <w:b/>
          <w:bCs/>
          <w:color w:val="000000"/>
          <w:szCs w:val="24"/>
        </w:rPr>
        <w:t>2.3 TERMIN PŁATNOŚCI FAKTURY – 30 %</w:t>
      </w:r>
    </w:p>
    <w:p>
      <w:pPr>
        <w:pStyle w:val="Normal"/>
        <w:spacing w:lineRule="auto" w:line="276"/>
        <w:ind w:left="0" w:hanging="0"/>
        <w:jc w:val="both"/>
        <w:rPr>
          <w:color w:val="CE181E"/>
        </w:rPr>
      </w:pPr>
      <w:r>
        <w:rPr>
          <w:color w:val="000000"/>
          <w:szCs w:val="24"/>
        </w:rPr>
        <w:t xml:space="preserve">Ocenie będzie podlegał najdłuższy termin płatności faktury. Minimalny termin płatności to 21 dni od dnia wpływu faktury do Zamawiającego. Maksymalna liczba dni płatności faktury brana pod uwagę do punktacji to 30 dni od dnia wpływu faktury do Zamawiającego. </w:t>
      </w:r>
    </w:p>
    <w:p>
      <w:pPr>
        <w:pStyle w:val="Normal"/>
        <w:spacing w:lineRule="auto" w:line="276"/>
        <w:ind w:left="0" w:hanging="0"/>
        <w:jc w:val="both"/>
        <w:rPr>
          <w:color w:val="000000"/>
          <w:szCs w:val="24"/>
        </w:rPr>
      </w:pPr>
      <w:r>
        <w:rPr>
          <w:color w:val="000000"/>
          <w:szCs w:val="24"/>
        </w:rPr>
      </w:r>
    </w:p>
    <w:p>
      <w:pPr>
        <w:pStyle w:val="Normal"/>
        <w:spacing w:lineRule="auto" w:line="276"/>
        <w:ind w:left="0" w:firstLine="426"/>
        <w:jc w:val="center"/>
        <w:rPr>
          <w:color w:val="CE181E"/>
        </w:rPr>
      </w:pPr>
      <w:r>
        <w:rPr>
          <w:rFonts w:eastAsia="Calibri"/>
          <w:b/>
          <w:bCs/>
          <w:color w:val="000000"/>
          <w:sz w:val="20"/>
          <w:szCs w:val="18"/>
        </w:rPr>
        <w:t>Termin najdłuższy ( dni )</w:t>
      </w:r>
    </w:p>
    <w:p>
      <w:pPr>
        <w:pStyle w:val="Normal"/>
        <w:spacing w:lineRule="auto" w:line="276"/>
        <w:ind w:left="0" w:firstLine="426"/>
        <w:jc w:val="center"/>
        <w:rPr>
          <w:color w:val="CE181E"/>
        </w:rPr>
      </w:pPr>
      <w:r>
        <w:rPr>
          <w:rFonts w:eastAsia="Calibri"/>
          <w:b/>
          <w:bCs/>
          <w:color w:val="000000"/>
          <w:sz w:val="20"/>
          <w:szCs w:val="18"/>
        </w:rPr>
        <w:t>Termin płatności faktury = --------------------------------------------- x 100,00 pkt. x 30%</w:t>
      </w:r>
    </w:p>
    <w:p>
      <w:pPr>
        <w:pStyle w:val="Normal"/>
        <w:spacing w:lineRule="auto" w:line="276"/>
        <w:ind w:left="0" w:firstLine="426"/>
        <w:jc w:val="center"/>
        <w:rPr>
          <w:color w:val="CE181E"/>
        </w:rPr>
      </w:pPr>
      <w:r>
        <w:rPr>
          <w:rFonts w:eastAsia="Calibri"/>
          <w:b/>
          <w:bCs/>
          <w:color w:val="000000"/>
          <w:sz w:val="20"/>
          <w:szCs w:val="18"/>
        </w:rPr>
        <w:t>Termin z badanej ofert ( dni )</w:t>
      </w:r>
    </w:p>
    <w:p>
      <w:pPr>
        <w:pStyle w:val="Normal"/>
        <w:spacing w:lineRule="auto" w:line="276"/>
        <w:ind w:left="0" w:firstLine="426"/>
        <w:jc w:val="center"/>
        <w:rPr>
          <w:color w:val="000000"/>
          <w:szCs w:val="24"/>
        </w:rPr>
      </w:pPr>
      <w:r>
        <w:rPr>
          <w:color w:val="000000"/>
          <w:szCs w:val="24"/>
        </w:rPr>
      </w:r>
    </w:p>
    <w:p>
      <w:pPr>
        <w:pStyle w:val="Normal"/>
        <w:spacing w:lineRule="auto" w:line="276"/>
        <w:ind w:left="0" w:hanging="0"/>
        <w:jc w:val="both"/>
        <w:rPr>
          <w:color w:val="CE181E"/>
        </w:rPr>
      </w:pPr>
      <w:r>
        <w:rPr>
          <w:color w:val="000000"/>
          <w:szCs w:val="24"/>
        </w:rPr>
        <w:t>Maksymalna ilość punktów do uzyskania w kryterium TERMIN PŁATNOŚCI to 30 pkt.</w:t>
      </w:r>
    </w:p>
    <w:p>
      <w:pPr>
        <w:pStyle w:val="Normal"/>
        <w:spacing w:lineRule="auto" w:line="276"/>
        <w:ind w:left="0" w:hanging="0"/>
        <w:jc w:val="both"/>
        <w:rPr>
          <w:color w:val="000000"/>
          <w:szCs w:val="24"/>
        </w:rPr>
      </w:pPr>
      <w:r>
        <w:rPr>
          <w:color w:val="000000"/>
          <w:szCs w:val="24"/>
        </w:rPr>
      </w:r>
    </w:p>
    <w:p>
      <w:pPr>
        <w:pStyle w:val="Normal"/>
        <w:spacing w:lineRule="auto" w:line="276" w:before="0" w:after="120"/>
        <w:ind w:left="227" w:hanging="227"/>
        <w:jc w:val="both"/>
        <w:rPr>
          <w:szCs w:val="24"/>
        </w:rPr>
      </w:pPr>
      <w:r>
        <w:rPr>
          <w:color w:val="000000"/>
          <w:szCs w:val="24"/>
        </w:rPr>
        <w:t xml:space="preserve">3. Łączna ilość punktów oferty stanowi sumę ilości punktów przyznanych w kryterium „CENA”, ilości punktów przyznanych w kryterium „OKRES DODATKOWEJ GWARANCJI”, </w:t>
      </w:r>
      <w:r>
        <w:rPr>
          <w:rFonts w:eastAsia="Calibri"/>
          <w:color w:val="000000"/>
          <w:szCs w:val="18"/>
        </w:rPr>
        <w:t>ilości punktów przyznanych w kryterium „TERMIN PŁATNOŚCI”</w:t>
      </w:r>
      <w:r>
        <w:rPr>
          <w:color w:val="000000"/>
          <w:szCs w:val="24"/>
        </w:rPr>
        <w:t>. Oferta, która otrzyma największą łączną ilość punktów zostanie uznana za najkorzystniejszą, pozostałe oferty zostaną sklasyfikowane zgodnie z ilością uzyskanych punktów.</w:t>
      </w:r>
    </w:p>
    <w:p>
      <w:pPr>
        <w:pStyle w:val="ListParagraph"/>
        <w:numPr>
          <w:ilvl w:val="0"/>
          <w:numId w:val="9"/>
        </w:numPr>
        <w:spacing w:lineRule="auto" w:line="276" w:before="0" w:after="120"/>
        <w:contextualSpacing/>
        <w:jc w:val="both"/>
        <w:rPr>
          <w:color w:val="76923C" w:themeColor="accent3" w:themeShade="bf"/>
          <w:szCs w:val="24"/>
        </w:rPr>
      </w:pPr>
      <w:r>
        <w:rPr>
          <w:color w:val="000000" w:themeShade="bf"/>
          <w:szCs w:val="24"/>
        </w:rPr>
        <w:t xml:space="preserve">Jeżeli nie można wybrać oferty najkorzystniejszej z uwagi na to, że dwie lub więcej ofert przedstawia taki sam bilans ceny i innych kryteriów oceny ofert, Zamawiający spośród tych ofert wybiera ofertę </w:t>
        <w:br/>
        <w:t xml:space="preserve">z najniższą ceną, a jeżeli zostały złożone oferty o takiej samej cenie, Zamawiający wzywa Wykonawców, którzy złożyli te oferty, do złożenia w terminie określonym przez Zamawiającego ofert dodatkowych. </w:t>
      </w:r>
    </w:p>
    <w:p>
      <w:pPr>
        <w:pStyle w:val="ListParagraph"/>
        <w:numPr>
          <w:ilvl w:val="0"/>
          <w:numId w:val="9"/>
        </w:numPr>
        <w:spacing w:lineRule="auto" w:line="276" w:before="0" w:after="120"/>
        <w:contextualSpacing/>
        <w:jc w:val="both"/>
        <w:rPr>
          <w:color w:val="76923C" w:themeColor="accent3" w:themeShade="bf"/>
          <w:szCs w:val="24"/>
        </w:rPr>
      </w:pPr>
      <w:r>
        <w:rPr>
          <w:color w:val="000000" w:themeShade="bf"/>
          <w:szCs w:val="24"/>
        </w:rPr>
        <w:t xml:space="preserve">Wykonawcy, składając oferty dodatkowe, nie mogą zaoferować cen wyższych niż zaoferowane </w:t>
        <w:br/>
        <w:t xml:space="preserve">w złożonych ofertach. </w:t>
      </w:r>
    </w:p>
    <w:p>
      <w:pPr>
        <w:pStyle w:val="ListParagraph"/>
        <w:numPr>
          <w:ilvl w:val="0"/>
          <w:numId w:val="9"/>
        </w:numPr>
        <w:spacing w:lineRule="auto" w:line="276"/>
        <w:ind w:left="284" w:hanging="284"/>
        <w:jc w:val="both"/>
        <w:rPr>
          <w:bCs/>
          <w:color w:val="76923C" w:themeColor="accent3" w:themeShade="bf"/>
          <w:szCs w:val="24"/>
        </w:rPr>
      </w:pPr>
      <w:r>
        <w:rPr>
          <w:bCs/>
          <w:color w:val="000000" w:themeShade="bf"/>
          <w:szCs w:val="24"/>
        </w:rPr>
        <w:t xml:space="preserve">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w:t>
        <w:br/>
        <w:t>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pPr>
        <w:pStyle w:val="Normal"/>
        <w:spacing w:lineRule="auto" w:line="276" w:before="0" w:after="120"/>
        <w:ind w:left="227" w:hanging="227"/>
        <w:jc w:val="both"/>
        <w:rPr>
          <w:szCs w:val="24"/>
        </w:rPr>
      </w:pPr>
      <w:r>
        <w:rPr>
          <w:szCs w:val="24"/>
        </w:rPr>
      </w:r>
    </w:p>
    <w:p>
      <w:pPr>
        <w:pStyle w:val="Normal"/>
        <w:spacing w:lineRule="auto" w:line="276"/>
        <w:ind w:left="0" w:hanging="0"/>
        <w:jc w:val="both"/>
        <w:rPr>
          <w:szCs w:val="24"/>
        </w:rPr>
      </w:pPr>
      <w:r>
        <w:rPr>
          <w:szCs w:val="24"/>
        </w:rPr>
      </w:r>
    </w:p>
    <w:p>
      <w:pPr>
        <w:pStyle w:val="Normal"/>
        <w:spacing w:lineRule="auto" w:line="252"/>
        <w:ind w:left="0" w:firstLine="426"/>
        <w:jc w:val="both"/>
        <w:rPr>
          <w:rFonts w:eastAsia="Calibri"/>
          <w:szCs w:val="18"/>
        </w:rPr>
      </w:pPr>
      <w:r>
        <w:rPr>
          <w:rFonts w:eastAsia="Calibri"/>
          <w:szCs w:val="18"/>
        </w:rPr>
      </w:r>
    </w:p>
    <w:p>
      <w:pPr>
        <w:pStyle w:val="Artyku"/>
        <w:numPr>
          <w:ilvl w:val="0"/>
          <w:numId w:val="9"/>
        </w:numPr>
        <w:rPr/>
      </w:pPr>
      <w:bookmarkStart w:id="16" w:name="_Toc496698277"/>
      <w:r>
        <w:rPr/>
        <w:t>Informacje o formalnościach, jakie winny być dopełnione po wyborze oferty w celu zawarcia umowy w sprawie zamówienia</w:t>
      </w:r>
      <w:bookmarkEnd w:id="16"/>
    </w:p>
    <w:p>
      <w:pPr>
        <w:pStyle w:val="Normal"/>
        <w:spacing w:lineRule="auto" w:line="252"/>
        <w:ind w:left="0" w:hanging="0"/>
        <w:rPr>
          <w:rFonts w:eastAsia="Calibri"/>
          <w:b/>
          <w:b/>
          <w:bCs/>
          <w:szCs w:val="18"/>
        </w:rPr>
      </w:pPr>
      <w:r>
        <w:rPr>
          <w:rFonts w:eastAsia="Calibri"/>
          <w:b/>
          <w:bCs/>
          <w:szCs w:val="18"/>
        </w:rPr>
      </w:r>
    </w:p>
    <w:p>
      <w:pPr>
        <w:pStyle w:val="Normal"/>
        <w:spacing w:lineRule="auto" w:line="276" w:before="0" w:after="120"/>
        <w:ind w:left="0" w:hanging="0"/>
        <w:jc w:val="both"/>
        <w:rPr>
          <w:szCs w:val="18"/>
        </w:rPr>
      </w:pPr>
      <w:r>
        <w:rPr>
          <w:szCs w:val="18"/>
        </w:rPr>
        <w:t>1. Umowa w sprawie zamówienia publicznego zawarta zostanie z uwzględnieniem postanowień wynikających z art. 94 ustawy oraz postanowień niniejszej SIWZ.</w:t>
      </w:r>
    </w:p>
    <w:p>
      <w:pPr>
        <w:pStyle w:val="Normal"/>
        <w:spacing w:lineRule="auto" w:line="276" w:before="0" w:after="120"/>
        <w:ind w:left="0" w:hanging="0"/>
        <w:jc w:val="both"/>
        <w:rPr>
          <w:szCs w:val="18"/>
        </w:rPr>
      </w:pPr>
      <w:r>
        <w:rPr>
          <w:szCs w:val="18"/>
        </w:rPr>
        <w:t>2. Zamawiający podpisze umowę z Wykonawcą, który przedłoży najkorzystniejszą ofertę z punktu widzenia kryterium przyjętego w niniejszej specyfikacji.</w:t>
      </w:r>
    </w:p>
    <w:p>
      <w:pPr>
        <w:pStyle w:val="Normal"/>
        <w:spacing w:lineRule="auto" w:line="276" w:before="0" w:after="120"/>
        <w:ind w:left="0" w:hanging="0"/>
        <w:jc w:val="both"/>
        <w:rPr>
          <w:szCs w:val="18"/>
        </w:rPr>
      </w:pPr>
      <w:r>
        <w:rPr>
          <w:szCs w:val="18"/>
        </w:rPr>
        <w:t>3. W przypadku gdyby wyłoniona w prowadzonym postępowaniu oferta została złożona przez dwóch lub więcej wykonawców wspólnie ubiegających się o udzielenie zamówienia publicznego zamawiający zażąda umowy regulującej współpracę tych podmiotów przed przystąpieniem do podpisania umowy o zamówienie publiczne.</w:t>
      </w:r>
    </w:p>
    <w:p>
      <w:pPr>
        <w:pStyle w:val="Normal"/>
        <w:spacing w:lineRule="auto" w:line="276" w:before="0" w:after="120"/>
        <w:ind w:left="0" w:hanging="0"/>
        <w:jc w:val="both"/>
        <w:rPr>
          <w:szCs w:val="18"/>
        </w:rPr>
      </w:pPr>
      <w:r>
        <w:rPr>
          <w:szCs w:val="18"/>
        </w:rPr>
        <w:t>4. Na podstawie art. 94 ust. 3 ustawy w przypadku kiedy Wykonawca, którego oferta została wybrana, uchyla się od zawarcia umowy w sprawie zamówienia publicznego lub nie wnosi wymaganego zabezpieczenia należytego wykonania umowy, zamawiający może wybrać ofert najkorzystniejszą spośród pozostałych ofert, bez przeprowadzania ich ponownego badania i oceny, chyba że zachodzą przesłanki unieważnienia postępowania, o których mowa w art. 93 ust.1.</w:t>
      </w:r>
    </w:p>
    <w:p>
      <w:pPr>
        <w:pStyle w:val="Normal"/>
        <w:spacing w:lineRule="auto" w:line="276"/>
        <w:ind w:left="0" w:hanging="0"/>
        <w:jc w:val="both"/>
        <w:rPr>
          <w:szCs w:val="18"/>
        </w:rPr>
      </w:pPr>
      <w:r>
        <w:rPr>
          <w:szCs w:val="18"/>
        </w:rPr>
        <w:t>5. Wykonawca jest zobowiązany dostarczyć harmonogram rzeczowo-finansowy Zamawiającemu najpóźniej do momentu podpisania umowy zgodnie z zapisami rozdziału VII ust. 7 pkt. 1 SIWZ .</w:t>
      </w:r>
    </w:p>
    <w:p>
      <w:pPr>
        <w:pStyle w:val="Normal"/>
        <w:spacing w:lineRule="auto" w:line="252"/>
        <w:ind w:left="284" w:hanging="0"/>
        <w:rPr>
          <w:rFonts w:eastAsia="Calibri"/>
          <w:sz w:val="18"/>
          <w:szCs w:val="18"/>
        </w:rPr>
      </w:pPr>
      <w:r>
        <w:rPr>
          <w:rFonts w:eastAsia="Calibri"/>
          <w:sz w:val="18"/>
          <w:szCs w:val="18"/>
        </w:rPr>
      </w:r>
    </w:p>
    <w:p>
      <w:pPr>
        <w:pStyle w:val="Artyku"/>
        <w:numPr>
          <w:ilvl w:val="0"/>
          <w:numId w:val="9"/>
        </w:numPr>
        <w:rPr/>
      </w:pPr>
      <w:bookmarkStart w:id="17" w:name="_Toc496698278"/>
      <w:r>
        <w:rPr/>
        <w:t>Zabezpieczenie należytego wykonania umowy</w:t>
      </w:r>
      <w:bookmarkEnd w:id="17"/>
    </w:p>
    <w:p>
      <w:pPr>
        <w:pStyle w:val="Artyku"/>
        <w:ind w:left="357" w:hanging="227"/>
        <w:rPr/>
      </w:pPr>
      <w:r>
        <w:rPr/>
      </w:r>
    </w:p>
    <w:p>
      <w:pPr>
        <w:pStyle w:val="Normal"/>
        <w:spacing w:lineRule="auto" w:line="276"/>
        <w:ind w:left="0" w:hanging="0"/>
        <w:jc w:val="both"/>
        <w:rPr>
          <w:szCs w:val="18"/>
        </w:rPr>
      </w:pPr>
      <w:r>
        <w:rPr>
          <w:szCs w:val="18"/>
        </w:rPr>
        <w:t>1. Zamawiający będzie wymagał od wybranego wykonawcy wniesienia zabezpieczenia należytego wykonania umowy – zgodnie z art. 148 ustawy Pzp wg jego wyboru w jednej lub kilku następujących formach:</w:t>
      </w:r>
    </w:p>
    <w:p>
      <w:pPr>
        <w:pStyle w:val="Normal"/>
        <w:spacing w:lineRule="auto" w:line="276" w:before="0" w:after="120"/>
        <w:ind w:left="0" w:hanging="0"/>
        <w:jc w:val="both"/>
        <w:rPr>
          <w:szCs w:val="18"/>
        </w:rPr>
      </w:pPr>
      <w:r>
        <w:rPr>
          <w:szCs w:val="18"/>
        </w:rPr>
        <w:t>1) pieniądza;</w:t>
      </w:r>
    </w:p>
    <w:p>
      <w:pPr>
        <w:pStyle w:val="Normal"/>
        <w:spacing w:lineRule="auto" w:line="276" w:before="0" w:after="120"/>
        <w:ind w:left="0" w:hanging="0"/>
        <w:jc w:val="both"/>
        <w:rPr>
          <w:szCs w:val="18"/>
        </w:rPr>
      </w:pPr>
      <w:r>
        <w:rPr>
          <w:szCs w:val="18"/>
        </w:rPr>
        <w:t>2) poręczeń bankowych i poręczeń spółdzielczej kasy oszczędnościowo – kredytowej;</w:t>
      </w:r>
    </w:p>
    <w:p>
      <w:pPr>
        <w:pStyle w:val="Normal"/>
        <w:spacing w:lineRule="auto" w:line="276" w:before="0" w:after="120"/>
        <w:ind w:left="0" w:hanging="0"/>
        <w:jc w:val="both"/>
        <w:rPr>
          <w:szCs w:val="18"/>
        </w:rPr>
      </w:pPr>
      <w:r>
        <w:rPr>
          <w:szCs w:val="18"/>
        </w:rPr>
        <w:t>3) gwarancji bankowych;</w:t>
      </w:r>
    </w:p>
    <w:p>
      <w:pPr>
        <w:pStyle w:val="Normal"/>
        <w:spacing w:lineRule="auto" w:line="276" w:before="0" w:after="120"/>
        <w:ind w:left="0" w:hanging="0"/>
        <w:jc w:val="both"/>
        <w:rPr>
          <w:szCs w:val="18"/>
        </w:rPr>
      </w:pPr>
      <w:r>
        <w:rPr>
          <w:szCs w:val="18"/>
        </w:rPr>
        <w:t>4) gwarancji ubezpieczeniowych;</w:t>
      </w:r>
    </w:p>
    <w:p>
      <w:pPr>
        <w:pStyle w:val="Normal"/>
        <w:spacing w:lineRule="auto" w:line="276" w:before="0" w:after="120"/>
        <w:ind w:left="0" w:hanging="0"/>
        <w:jc w:val="both"/>
        <w:rPr>
          <w:szCs w:val="18"/>
        </w:rPr>
      </w:pPr>
      <w:r>
        <w:rPr>
          <w:szCs w:val="18"/>
        </w:rPr>
        <w:t>5) poręczeniach udzielanych przez podmioty, o których mowa w art. 6 b ust. 5 pkt. 2. ustawy z dnia 9 listopada 2000r. o utworzeniu Polskiej Agencji Rozwoju Przedsiębiorczości.</w:t>
      </w:r>
    </w:p>
    <w:p>
      <w:pPr>
        <w:pStyle w:val="Normal"/>
        <w:spacing w:lineRule="auto" w:line="276"/>
        <w:ind w:left="0" w:hanging="0"/>
        <w:jc w:val="both"/>
        <w:rPr>
          <w:szCs w:val="18"/>
        </w:rPr>
      </w:pPr>
      <w:r>
        <w:rPr>
          <w:szCs w:val="18"/>
        </w:rPr>
        <w:t>2. Zabezpieczenie wnoszone w pieniądzu wykonawca wnosi przelewem na rachunek bankowy zamawiającego w  Powiatowy Bank Spółdzielczy we Wrześni oddział Miłosław – 33 9681 0002 2200 0202 0001 6290</w:t>
      </w:r>
    </w:p>
    <w:p>
      <w:pPr>
        <w:pStyle w:val="Normal"/>
        <w:spacing w:lineRule="auto" w:line="276" w:before="0" w:after="120"/>
        <w:ind w:left="0" w:hanging="0"/>
        <w:jc w:val="both"/>
        <w:rPr>
          <w:szCs w:val="18"/>
        </w:rPr>
      </w:pPr>
      <w:r>
        <w:rPr>
          <w:szCs w:val="18"/>
        </w:rPr>
        <w:t xml:space="preserve">3. Zabezpieczenie należytego wykonania umowy ustala się w wysokości </w:t>
      </w:r>
      <w:r>
        <w:rPr>
          <w:b/>
          <w:bCs/>
          <w:szCs w:val="18"/>
        </w:rPr>
        <w:t xml:space="preserve">10% ceny brutto </w:t>
      </w:r>
      <w:r>
        <w:rPr>
          <w:szCs w:val="18"/>
        </w:rPr>
        <w:t xml:space="preserve">podanej </w:t>
        <w:br/>
        <w:t>w ofercie, które zostanie wniesione najpóźniej w dniu podpisania umowy .</w:t>
      </w:r>
    </w:p>
    <w:p>
      <w:pPr>
        <w:pStyle w:val="Normal"/>
        <w:spacing w:lineRule="auto" w:line="276" w:before="0" w:after="120"/>
        <w:ind w:left="0" w:hanging="0"/>
        <w:jc w:val="both"/>
        <w:rPr>
          <w:szCs w:val="18"/>
        </w:rPr>
      </w:pPr>
      <w:r>
        <w:rPr>
          <w:szCs w:val="18"/>
        </w:rPr>
        <w:t>4. Zamawiający nie dopuszcza tworzenia zabezpieczenia poprzez potrącenia z należności za częściowo wykonane dostawy, usługi lub roboty budowlane.</w:t>
      </w:r>
    </w:p>
    <w:p>
      <w:pPr>
        <w:pStyle w:val="Normal"/>
        <w:spacing w:lineRule="auto" w:line="276" w:before="0" w:after="120"/>
        <w:ind w:left="0" w:hanging="0"/>
        <w:jc w:val="both"/>
        <w:rPr>
          <w:szCs w:val="18"/>
        </w:rPr>
      </w:pPr>
      <w:r>
        <w:rPr>
          <w:szCs w:val="18"/>
        </w:rPr>
        <w:t xml:space="preserve">5. Jeżeli okres na jaki ma zostać wniesione zabezpieczenie przekracza 5 lat, zabezpieczenie w pieniądzu wnosi się na cały ten okres, a zabezpieczenie w innej formie wnosi się na okres nie krótszy niż 5 lat, </w:t>
        <w:br/>
        <w:t>z jednoczesnym zobowiązaniem się wykonawcy do przedłużenia zabezpieczenia lub wniesienia nowego zabezpieczenia na kolejne okresy:</w:t>
      </w:r>
    </w:p>
    <w:p>
      <w:pPr>
        <w:pStyle w:val="Normal"/>
        <w:spacing w:lineRule="auto" w:line="276" w:before="0" w:after="120"/>
        <w:ind w:left="0" w:hanging="0"/>
        <w:jc w:val="both"/>
        <w:rPr>
          <w:szCs w:val="18"/>
        </w:rPr>
      </w:pPr>
      <w:r>
        <w:rPr>
          <w:szCs w:val="18"/>
        </w:rPr>
        <w:t>1)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pPr>
        <w:pStyle w:val="Normal"/>
        <w:spacing w:lineRule="auto" w:line="276" w:before="0" w:after="120"/>
        <w:ind w:left="0" w:hanging="0"/>
        <w:jc w:val="both"/>
        <w:rPr>
          <w:szCs w:val="18"/>
        </w:rPr>
      </w:pPr>
      <w:r>
        <w:rPr>
          <w:szCs w:val="18"/>
        </w:rPr>
        <w:t>2) wypłata, o której mowa w ust. 1, następuje nie później niż w ostatnim dniu ważności dotychczasowego zabezpieczenia.</w:t>
      </w:r>
    </w:p>
    <w:p>
      <w:pPr>
        <w:pStyle w:val="Normal"/>
        <w:spacing w:lineRule="auto" w:line="276"/>
        <w:ind w:left="0" w:hanging="0"/>
        <w:jc w:val="both"/>
        <w:rPr>
          <w:szCs w:val="18"/>
        </w:rPr>
      </w:pPr>
      <w:r>
        <w:rPr>
          <w:szCs w:val="18"/>
        </w:rPr>
        <w:t>6. Dokonanie wypłaty zabezpieczonej kwoty nie może być uzależnione od spełnienia przez Zamawiającego jakichkolwiek dodatkowych warunków lub przedłożenia jakichkolwiek dokumentów. W przypadku przedłożenia gwarancji niezgodnej  ze wzorem lub zawierającej jakiekolwiek dodatkowe zastrzeżenia, Zamawiający uzna, ze wykonawca nie wniósł zabezpieczenia należytego wykonania umowy.</w:t>
      </w:r>
    </w:p>
    <w:p>
      <w:pPr>
        <w:pStyle w:val="Normal"/>
        <w:spacing w:lineRule="auto" w:line="252"/>
        <w:ind w:left="284" w:hanging="0"/>
        <w:rPr>
          <w:rFonts w:eastAsia="Calibri"/>
          <w:szCs w:val="18"/>
        </w:rPr>
      </w:pPr>
      <w:r>
        <w:rPr>
          <w:rFonts w:eastAsia="Calibri"/>
          <w:szCs w:val="18"/>
        </w:rPr>
      </w:r>
    </w:p>
    <w:p>
      <w:pPr>
        <w:pStyle w:val="Normal"/>
        <w:spacing w:lineRule="auto" w:line="252"/>
        <w:ind w:left="284" w:hanging="0"/>
        <w:rPr>
          <w:rFonts w:eastAsia="Calibri"/>
          <w:sz w:val="18"/>
          <w:szCs w:val="18"/>
        </w:rPr>
      </w:pPr>
      <w:r>
        <w:rPr>
          <w:rFonts w:eastAsia="Calibri"/>
          <w:sz w:val="18"/>
          <w:szCs w:val="18"/>
        </w:rPr>
      </w:r>
    </w:p>
    <w:p>
      <w:pPr>
        <w:pStyle w:val="Artyku"/>
        <w:numPr>
          <w:ilvl w:val="0"/>
          <w:numId w:val="9"/>
        </w:numPr>
        <w:rPr/>
      </w:pPr>
      <w:bookmarkStart w:id="18" w:name="_Toc496698279"/>
      <w:r>
        <w:rPr/>
        <w:t xml:space="preserve">Istotne dla stron postanowienia, które zostaną wprowadzone do treści zawieranej umowy </w:t>
        <w:br/>
        <w:t>w sprawie zamówienia publicznego, ogólne warunki umowy albo wzór umowy</w:t>
      </w:r>
      <w:bookmarkEnd w:id="18"/>
    </w:p>
    <w:p>
      <w:pPr>
        <w:pStyle w:val="Normal"/>
        <w:spacing w:lineRule="auto" w:line="252"/>
        <w:ind w:left="284" w:hanging="0"/>
        <w:jc w:val="both"/>
        <w:rPr>
          <w:rFonts w:eastAsia="Calibri"/>
          <w:b/>
          <w:b/>
          <w:bCs/>
          <w:szCs w:val="18"/>
        </w:rPr>
      </w:pPr>
      <w:r>
        <w:rPr>
          <w:rFonts w:eastAsia="Calibri"/>
          <w:b/>
          <w:bCs/>
          <w:szCs w:val="18"/>
        </w:rPr>
      </w:r>
    </w:p>
    <w:p>
      <w:pPr>
        <w:pStyle w:val="Normal"/>
        <w:spacing w:lineRule="auto" w:line="276" w:before="0" w:after="120"/>
        <w:ind w:left="0" w:hanging="0"/>
        <w:jc w:val="both"/>
        <w:rPr>
          <w:szCs w:val="24"/>
        </w:rPr>
      </w:pPr>
      <w:r>
        <w:rPr>
          <w:szCs w:val="24"/>
        </w:rPr>
        <w:t xml:space="preserve">1. Postanowienia umowy zawarto w projekcie umowy, który stanowi </w:t>
      </w:r>
      <w:r>
        <w:rPr>
          <w:b/>
          <w:szCs w:val="24"/>
        </w:rPr>
        <w:t>zał. nr 2 do SIWZ</w:t>
      </w:r>
      <w:r>
        <w:rPr>
          <w:szCs w:val="24"/>
        </w:rPr>
        <w:t>.</w:t>
      </w:r>
    </w:p>
    <w:p>
      <w:pPr>
        <w:pStyle w:val="Normal"/>
        <w:spacing w:lineRule="auto" w:line="276" w:before="0" w:after="120"/>
        <w:ind w:left="0" w:hanging="0"/>
        <w:jc w:val="both"/>
        <w:rPr>
          <w:szCs w:val="24"/>
        </w:rPr>
      </w:pPr>
      <w:r>
        <w:rPr>
          <w:szCs w:val="24"/>
        </w:rPr>
        <w:t>2. Zamawiający informuje, że przewiduje możliwości zmiany postanowień umowy, w stosunku do treści oferty, na podstawie której dokonano wyboru oferty, z zastrzeżeniem, że zmiana umowy może nastąpić wyłącznie za zgodą obydwu stron wyrażoną na piśmie pod rygorem nieważności, jeżeli służyć będzie należytemu wykonaniu umowy.</w:t>
      </w:r>
    </w:p>
    <w:p>
      <w:pPr>
        <w:pStyle w:val="Normal"/>
        <w:spacing w:lineRule="auto" w:line="276" w:before="0" w:after="120"/>
        <w:ind w:left="0" w:hanging="0"/>
        <w:jc w:val="both"/>
        <w:rPr>
          <w:szCs w:val="24"/>
        </w:rPr>
      </w:pPr>
      <w:r>
        <w:rPr>
          <w:szCs w:val="24"/>
        </w:rPr>
        <w:t xml:space="preserve">3. Zamawiający zastrzega możliwość wprowadzenia istotnych zmian postanowień zawartej umowy. </w:t>
        <w:br/>
        <w:t>W szczególności postanowienia umowy mogą ulec zmianie w następującym zakresie oraz na następujących warunkach:</w:t>
      </w:r>
    </w:p>
    <w:p>
      <w:pPr>
        <w:pStyle w:val="Normal"/>
        <w:spacing w:lineRule="auto" w:line="276"/>
        <w:ind w:left="0" w:hanging="0"/>
        <w:jc w:val="both"/>
        <w:rPr>
          <w:szCs w:val="24"/>
        </w:rPr>
      </w:pPr>
      <w:r>
        <w:rPr>
          <w:szCs w:val="24"/>
        </w:rPr>
        <w:t>1) zmiany dotyczą realizacji dodatkowych dostaw, usług lub robót budowlanych od dotychczasowego wykonawcy, nieobjętych zamówieniem podstawowym, o ile stały się niezbędne i zostały spełnione łącznie następujące warunki:</w:t>
      </w:r>
    </w:p>
    <w:p>
      <w:pPr>
        <w:pStyle w:val="Normal"/>
        <w:spacing w:lineRule="auto" w:line="276" w:before="0" w:after="120"/>
        <w:ind w:left="0" w:hanging="0"/>
        <w:jc w:val="both"/>
        <w:rPr>
          <w:szCs w:val="24"/>
        </w:rPr>
      </w:pPr>
      <w:r>
        <w:rPr>
          <w:szCs w:val="24"/>
        </w:rPr>
        <w:t xml:space="preserve">a) zmiana wykonawcy nie może zostać dokonana z powodów ekonomicznych lub technicznych, </w:t>
        <w:br/>
        <w:t>w szczególności dotyczących zamienności lub interoperacyjności sprzętu, usług lub instalacji, zamówionych w ramach zamówienia podstawowego;</w:t>
      </w:r>
    </w:p>
    <w:p>
      <w:pPr>
        <w:pStyle w:val="Normal"/>
        <w:spacing w:lineRule="auto" w:line="276" w:before="0" w:after="120"/>
        <w:ind w:left="0" w:hanging="0"/>
        <w:jc w:val="both"/>
        <w:rPr>
          <w:szCs w:val="24"/>
        </w:rPr>
      </w:pPr>
      <w:r>
        <w:rPr>
          <w:szCs w:val="24"/>
        </w:rPr>
        <w:t>b) zmiana wykonawcy spowodowałaby istotną niedogodność lub znaczne zwiększenie kosztów dla Zamawiającego;</w:t>
      </w:r>
    </w:p>
    <w:p>
      <w:pPr>
        <w:pStyle w:val="Normal"/>
        <w:spacing w:lineRule="auto" w:line="276" w:before="0" w:after="120"/>
        <w:ind w:left="0" w:hanging="0"/>
        <w:jc w:val="both"/>
        <w:rPr>
          <w:szCs w:val="24"/>
        </w:rPr>
      </w:pPr>
      <w:r>
        <w:rPr>
          <w:szCs w:val="24"/>
        </w:rPr>
        <w:t xml:space="preserve">c) wartość każdej kolejnej zmiany nie przekracza 50% wartości zamówienia określonej pierwotnie </w:t>
        <w:br/>
        <w:t>w umowie;</w:t>
      </w:r>
    </w:p>
    <w:p>
      <w:pPr>
        <w:pStyle w:val="Normal"/>
        <w:spacing w:lineRule="auto" w:line="276" w:before="0" w:after="120"/>
        <w:ind w:left="0" w:hanging="0"/>
        <w:jc w:val="both"/>
        <w:rPr>
          <w:szCs w:val="24"/>
        </w:rPr>
      </w:pPr>
      <w:r>
        <w:rPr>
          <w:szCs w:val="24"/>
        </w:rPr>
        <w:t>2) zostały spełnione łącznie następujące warunki:</w:t>
      </w:r>
    </w:p>
    <w:p>
      <w:pPr>
        <w:pStyle w:val="Normal"/>
        <w:spacing w:lineRule="auto" w:line="276" w:before="0" w:after="120"/>
        <w:ind w:left="0" w:hanging="0"/>
        <w:jc w:val="both"/>
        <w:rPr>
          <w:szCs w:val="24"/>
        </w:rPr>
      </w:pPr>
      <w:r>
        <w:rPr>
          <w:szCs w:val="24"/>
        </w:rPr>
        <w:t xml:space="preserve">a) konieczność zmiany umowy spowodowana jest okolicznościami, których Zamawiający, działając </w:t>
        <w:br/>
        <w:t>z należytą starannością, nie mógł przewidzieć;</w:t>
      </w:r>
    </w:p>
    <w:p>
      <w:pPr>
        <w:pStyle w:val="Normal"/>
        <w:tabs>
          <w:tab w:val="left" w:pos="7315" w:leader="none"/>
        </w:tabs>
        <w:spacing w:lineRule="auto" w:line="276" w:before="0" w:after="120"/>
        <w:ind w:left="0" w:hanging="0"/>
        <w:jc w:val="both"/>
        <w:rPr>
          <w:szCs w:val="24"/>
        </w:rPr>
      </w:pPr>
      <w:r>
        <w:rPr>
          <w:szCs w:val="24"/>
        </w:rPr>
        <w:t>b) wartość zmiany nie przekracza 50% wartości zamówienia określonej pierwotnie w umowie;</w:t>
      </w:r>
    </w:p>
    <w:p>
      <w:pPr>
        <w:pStyle w:val="Normal"/>
        <w:spacing w:lineRule="auto" w:line="276" w:before="0" w:after="120"/>
        <w:ind w:left="0" w:hanging="0"/>
        <w:jc w:val="both"/>
        <w:rPr>
          <w:szCs w:val="24"/>
        </w:rPr>
      </w:pPr>
      <w:r>
        <w:rPr>
          <w:szCs w:val="24"/>
        </w:rPr>
        <w:t>3) Wykonawcę, któremu Zamawiający udzielił zamówienia, ma zastąpić nowy Wykonawca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pPr>
        <w:pStyle w:val="Normal"/>
        <w:spacing w:lineRule="auto" w:line="276" w:before="0" w:after="120"/>
        <w:ind w:left="0" w:hanging="0"/>
        <w:jc w:val="both"/>
        <w:rPr>
          <w:szCs w:val="24"/>
        </w:rPr>
      </w:pPr>
      <w:r>
        <w:rPr>
          <w:szCs w:val="24"/>
        </w:rPr>
        <w:t>4) łączna wartość zmian jest mniejsza niż kwoty określone w przepisach wydanych na podstawie art. 11 ust.8 i jest mniejsza od 10% wartości zamówienia określonej pierwotnie w umowie w przypadku zamówień na usługi lub dostawy albo, w przypadku zamówień na roboty budowlane – jest mniejsza od 15% wartości zamówienia określonej pierwotnie w umowie.</w:t>
      </w:r>
    </w:p>
    <w:p>
      <w:pPr>
        <w:pStyle w:val="Normal"/>
        <w:spacing w:lineRule="auto" w:line="276"/>
        <w:ind w:left="0" w:hanging="0"/>
        <w:jc w:val="both"/>
        <w:rPr>
          <w:szCs w:val="24"/>
        </w:rPr>
      </w:pPr>
      <w:r>
        <w:rPr>
          <w:szCs w:val="24"/>
        </w:rPr>
        <w:t xml:space="preserve">4. Zamawiający zastrzega możliwość wprowadzenia istotnych zmian postanowień zawartej umowy. </w:t>
        <w:br/>
        <w:t>W szczególności postanowienia umowy mogą ulec zmianie w następującym zakresie oraz na następujących warunkach:</w:t>
      </w:r>
    </w:p>
    <w:p>
      <w:pPr>
        <w:pStyle w:val="Normal"/>
        <w:spacing w:lineRule="auto" w:line="276" w:before="0" w:after="120"/>
        <w:ind w:left="0" w:hanging="0"/>
        <w:jc w:val="both"/>
        <w:rPr>
          <w:szCs w:val="24"/>
        </w:rPr>
      </w:pPr>
      <w:r>
        <w:rPr>
          <w:szCs w:val="24"/>
        </w:rPr>
        <w:t>1) robót zwiększenie lub zmniejszenie zakresu przedmiotu zamówienia w wyniku dokonanego obmiaru robót, o którym mowa w § 7 ust. 3 i 6 umowy. W takim przypadku przewiduje się zwiększenie lub zmniejszenie wynagrodzenia wykonawcy na podstawie cen jednostkowych wskazanych w ofercie wykonawcy lub w innych sposób, proporcjonalnie do zwiększenia lub zmniejszenia zakresu przedmiotu zamówienia zgodnie z § 7 ust. 3 i 6 umowy;</w:t>
      </w:r>
    </w:p>
    <w:p>
      <w:pPr>
        <w:pStyle w:val="Normal"/>
        <w:spacing w:lineRule="auto" w:line="276" w:before="0" w:after="120"/>
        <w:ind w:left="0" w:hanging="0"/>
        <w:jc w:val="both"/>
        <w:rPr>
          <w:szCs w:val="24"/>
        </w:rPr>
      </w:pPr>
      <w:r>
        <w:rPr>
          <w:szCs w:val="24"/>
        </w:rPr>
        <w:t xml:space="preserve">2) ograniczenie przedmiotu zamówienia w przypadku zaistnienia uzasadnionych okoliczności, w których zbędne będzie wykonanie danej części zamówienia. W takim przypadku przewiduje się obniżenie wynagrodzenia wykonawcy na podstawie cen jednostkowych wskazanych w ofercie wykonawcy lub </w:t>
        <w:br/>
        <w:t>w inny sposób, proporcjonalnie do ograniczenia przedmiotu zamówienia zgodnie z § 7 ust. 8 umowy;</w:t>
      </w:r>
    </w:p>
    <w:p>
      <w:pPr>
        <w:pStyle w:val="Normal"/>
        <w:spacing w:lineRule="auto" w:line="276" w:before="0" w:after="120"/>
        <w:ind w:left="0" w:hanging="0"/>
        <w:jc w:val="both"/>
        <w:rPr>
          <w:szCs w:val="24"/>
        </w:rPr>
      </w:pPr>
      <w:r>
        <w:rPr>
          <w:szCs w:val="24"/>
        </w:rPr>
        <w:t>3)Zamawiający dopuszcza możliwość zmiany zakresu rzeczowego zamówienia poprzez rezygnację z niektórych robót. Zmiana zakresu rzeczowego poprzez zaniechanie niektórych robót (na podstawie wyraźnego oświadczenia Zamawiającego)wpłynie na  zmianę wysokości wynagrodzenia. W razie częściowego zaniechania robót danego rodzaju rozliczenie następuje na podstawie obmiaru rzeczywiście wykonanych robót danego elementu, który to obmiar potwierdzony będzie przez  Wykonawcę robót, inspektora nadzoru i Zamawiającego.</w:t>
      </w:r>
    </w:p>
    <w:p>
      <w:pPr>
        <w:pStyle w:val="Normal"/>
        <w:spacing w:lineRule="auto" w:line="276" w:before="0" w:after="120"/>
        <w:ind w:left="0" w:hanging="0"/>
        <w:jc w:val="both"/>
        <w:rPr>
          <w:szCs w:val="24"/>
        </w:rPr>
      </w:pPr>
      <w:r>
        <w:rPr>
          <w:szCs w:val="24"/>
        </w:rPr>
        <w:t>4) zmiana terminu wykonania zamówienia w następujących przypadkach:</w:t>
      </w:r>
    </w:p>
    <w:p>
      <w:pPr>
        <w:pStyle w:val="Normal"/>
        <w:spacing w:lineRule="auto" w:line="276" w:before="0" w:after="120"/>
        <w:ind w:left="0" w:hanging="0"/>
        <w:jc w:val="both"/>
        <w:rPr>
          <w:szCs w:val="24"/>
        </w:rPr>
      </w:pPr>
      <w:r>
        <w:rPr>
          <w:szCs w:val="24"/>
        </w:rPr>
        <w:t>a) wydłużenie terminu realizacji umowy, jeżeli z powodu niekorzystnych warunków atmosferycznych , których nie dało się przewidzieć z należytą starannością, wykonawca zmuszony jest przerwać realizację robót lub nie jest w stanie ich realizować w normalnym trybie czynności, a nie jest możliwe w tym czasie wykonywanie innych prac. W takiej sytuacji termin realizacji umowy ulega wydłużeniu o uzasadniony powyższymi okolicznościami okres;</w:t>
      </w:r>
    </w:p>
    <w:p>
      <w:pPr>
        <w:pStyle w:val="Normal"/>
        <w:spacing w:lineRule="auto" w:line="276" w:before="0" w:after="120"/>
        <w:ind w:left="0" w:hanging="0"/>
        <w:jc w:val="both"/>
        <w:rPr>
          <w:szCs w:val="24"/>
        </w:rPr>
      </w:pPr>
      <w:r>
        <w:rPr>
          <w:szCs w:val="24"/>
        </w:rPr>
        <w:t>b) wstrzymania robót budowlanych przez organy administracji publicznej;</w:t>
      </w:r>
    </w:p>
    <w:p>
      <w:pPr>
        <w:pStyle w:val="Normal"/>
        <w:spacing w:lineRule="auto" w:line="276" w:before="0" w:after="120"/>
        <w:ind w:left="0" w:hanging="0"/>
        <w:jc w:val="both"/>
        <w:rPr>
          <w:szCs w:val="24"/>
        </w:rPr>
      </w:pPr>
      <w:r>
        <w:rPr>
          <w:szCs w:val="24"/>
        </w:rPr>
        <w:t>c) zmiany będące następstwem okoliczności leżących po stronie Zamawiającego, w szczególności: wstrzymanie realizacji umowy przez Zamawiającego, działań osób po stronie Zamawiającego, które spowodują przerwanie lub czasowe zawieszenie realizacji zamówienia;</w:t>
      </w:r>
    </w:p>
    <w:p>
      <w:pPr>
        <w:pStyle w:val="Normal"/>
        <w:spacing w:lineRule="auto" w:line="276" w:before="0" w:after="120"/>
        <w:ind w:left="0" w:hanging="0"/>
        <w:jc w:val="both"/>
        <w:rPr>
          <w:szCs w:val="24"/>
        </w:rPr>
      </w:pPr>
      <w:r>
        <w:rPr>
          <w:szCs w:val="24"/>
        </w:rPr>
        <w:t>d) zmiany będące następstwem działań osób trzecich lub organów władzy publicznej, które spowodują przerwanie lub czasowe zawieszenie realizacji zamówienia;</w:t>
      </w:r>
    </w:p>
    <w:p>
      <w:pPr>
        <w:pStyle w:val="Normal"/>
        <w:spacing w:lineRule="auto" w:line="276"/>
        <w:ind w:left="0" w:hanging="0"/>
        <w:jc w:val="both"/>
        <w:rPr>
          <w:szCs w:val="24"/>
        </w:rPr>
      </w:pPr>
      <w:r>
        <w:rPr>
          <w:szCs w:val="24"/>
        </w:rPr>
        <w:t>e) gdy zajdzie konieczność wykonania robót dodatkowych, które będą niezbędne do prawidłowego wykonania i zakończenia robót objętych umową podstawową;</w:t>
      </w:r>
    </w:p>
    <w:p>
      <w:pPr>
        <w:pStyle w:val="Normal"/>
        <w:spacing w:lineRule="auto" w:line="276" w:before="0" w:after="120"/>
        <w:ind w:left="0" w:hanging="0"/>
        <w:jc w:val="both"/>
        <w:rPr>
          <w:szCs w:val="24"/>
        </w:rPr>
      </w:pPr>
      <w:r>
        <w:rPr>
          <w:szCs w:val="24"/>
        </w:rPr>
        <w:t>f) gdy zajdzie konieczność zmiany umowy, o której mowa w par. 18 ust. 3 pkt. 2 lit. a) i b) umowy;</w:t>
      </w:r>
    </w:p>
    <w:p>
      <w:pPr>
        <w:pStyle w:val="Normal"/>
        <w:spacing w:lineRule="auto" w:line="276"/>
        <w:ind w:left="0" w:hanging="0"/>
        <w:jc w:val="both"/>
        <w:rPr>
          <w:szCs w:val="24"/>
        </w:rPr>
      </w:pPr>
      <w:r>
        <w:rPr>
          <w:szCs w:val="24"/>
        </w:rPr>
        <w:t>g) wstrzymania robót spowodowanego wykryciem na przykład substancji i przedmiotów niebezpiecznych, szczątków ludzkich, zabytków, pozostałości budowli podziemnych;</w:t>
      </w:r>
    </w:p>
    <w:p>
      <w:pPr>
        <w:pStyle w:val="Normal"/>
        <w:spacing w:lineRule="auto" w:line="276" w:before="0" w:after="120"/>
        <w:ind w:left="0" w:hanging="0"/>
        <w:jc w:val="both"/>
        <w:rPr>
          <w:szCs w:val="24"/>
        </w:rPr>
      </w:pPr>
      <w:r>
        <w:rPr>
          <w:szCs w:val="24"/>
        </w:rPr>
        <w:t>h) wystąpienia niezgodności map geodezyjnych ze stanem faktycznym, które spowodują przerwę w pracach na okres dłuższy niż 2 tygodnie;</w:t>
      </w:r>
    </w:p>
    <w:p>
      <w:pPr>
        <w:pStyle w:val="Normal"/>
        <w:spacing w:lineRule="auto" w:line="276" w:before="0" w:after="120"/>
        <w:ind w:left="0" w:hanging="0"/>
        <w:jc w:val="both"/>
        <w:rPr>
          <w:szCs w:val="24"/>
        </w:rPr>
      </w:pPr>
      <w:r>
        <w:rPr>
          <w:szCs w:val="24"/>
        </w:rPr>
        <w:t>i) przerwania realizacji zamówienia w sytuacjach określonych w art. 32 ust. 1 ustawy z dnia 23 lipca 2003 r. o ochronie zabytków i opiece nad zabytkami. W przypadku wystąpienia którejkolwiek z okoliczności wymienionych powyżej termin wykonania umowy może ulec odpowiedniemu przedłużeniu, o czas niezbędny do zakończenia wykonywania jej przedmiotu w sposób należyty.</w:t>
      </w:r>
    </w:p>
    <w:p>
      <w:pPr>
        <w:pStyle w:val="Normal"/>
        <w:spacing w:lineRule="auto" w:line="276" w:before="0" w:after="120"/>
        <w:ind w:left="0" w:hanging="0"/>
        <w:jc w:val="both"/>
        <w:rPr>
          <w:szCs w:val="24"/>
        </w:rPr>
      </w:pPr>
      <w:r>
        <w:rPr>
          <w:szCs w:val="24"/>
        </w:rPr>
        <w:t>5) sposób wykonania przedmiotu zamówienia, w szczególności gdy zmiana sposobu realizacji zamówienia wynika ze zmian w obowiązujących przepisach prawa bądź wytycznych mających wpływ na wykonanie zamówienia;</w:t>
      </w:r>
    </w:p>
    <w:p>
      <w:pPr>
        <w:pStyle w:val="Normal"/>
        <w:spacing w:lineRule="auto" w:line="276"/>
        <w:ind w:left="0" w:hanging="0"/>
        <w:jc w:val="both"/>
        <w:rPr>
          <w:szCs w:val="24"/>
        </w:rPr>
      </w:pPr>
      <w:r>
        <w:rPr>
          <w:szCs w:val="24"/>
        </w:rPr>
        <w:t xml:space="preserve">6) zmiany rozwiązań technicznych w dokumentacji projektowej - w uzasadnionych przypadkach (np. spowodowanych wadami dokumentacji projektowej), gdy realizacja zadania według dokumentacji projektowej powodowałaby wadliwe wykonanie przedmiotu umowy, byłaby niemożliwa lub gdy zaistniałaby, z przyczyn wynikających z dokumentacji projektowej, konieczność wstrzymania prowadzonych przez wykonawcę robót budowlanych; dopuszcza się wprowadzenie zmian w stosunku do pierwotnej dokumentacji oraz zmianę terminu zakończenia robót budowlanych (w związku z koniecznością </w:t>
      </w:r>
    </w:p>
    <w:p>
      <w:pPr>
        <w:pStyle w:val="Normal"/>
        <w:spacing w:lineRule="auto" w:line="276" w:before="0" w:after="120"/>
        <w:ind w:left="0" w:hanging="0"/>
        <w:jc w:val="both"/>
        <w:rPr>
          <w:szCs w:val="24"/>
        </w:rPr>
      </w:pPr>
      <w:r>
        <w:rPr>
          <w:szCs w:val="24"/>
        </w:rPr>
        <w:t>opracowania i uzgodnienia rozwiązań niezbędnych do właściwej realizacji robót); w umowiezostaną wprowadzone zmiany dotyczące zakresu rzeczowego dokumentacji projektowej oraz wykonanych na jej podstawie robót budowlanych oraz zmiany dotyczące terminów: zostanie określony termin opracowania zmodyfikowanej dokumentacji oraz termin zakończenia robót budowlanych;</w:t>
      </w:r>
    </w:p>
    <w:p>
      <w:pPr>
        <w:pStyle w:val="Normal"/>
        <w:spacing w:lineRule="auto" w:line="276" w:before="0" w:after="120"/>
        <w:ind w:left="0" w:hanging="0"/>
        <w:jc w:val="both"/>
        <w:rPr>
          <w:szCs w:val="24"/>
        </w:rPr>
      </w:pPr>
      <w:r>
        <w:rPr>
          <w:szCs w:val="24"/>
        </w:rPr>
        <w:t>7) inne przyczyny zewnętrzne niezależne od Zamawiającego oraz Wykonawcy, skutkujące niemożliwością prowadzenia działań w celu wykonania umowy, które Zamawiający uzna za uzasadniające zmianę terminu;</w:t>
      </w:r>
    </w:p>
    <w:p>
      <w:pPr>
        <w:pStyle w:val="Normal"/>
        <w:spacing w:lineRule="auto" w:line="276" w:before="0" w:after="120"/>
        <w:ind w:left="0" w:hanging="0"/>
        <w:jc w:val="both"/>
        <w:rPr>
          <w:szCs w:val="24"/>
        </w:rPr>
      </w:pPr>
      <w:r>
        <w:rPr>
          <w:szCs w:val="24"/>
        </w:rPr>
        <w:t>8) pozostałe okoliczności powodujące możliwość zmiany umowy:</w:t>
      </w:r>
    </w:p>
    <w:p>
      <w:pPr>
        <w:pStyle w:val="Normal"/>
        <w:spacing w:lineRule="auto" w:line="276" w:before="0" w:after="120"/>
        <w:ind w:left="0" w:hanging="0"/>
        <w:jc w:val="both"/>
        <w:rPr>
          <w:szCs w:val="24"/>
        </w:rPr>
      </w:pPr>
      <w:r>
        <w:rPr>
          <w:szCs w:val="24"/>
        </w:rPr>
        <w:t>a) siła wyższa uniemożliwiająca wykonanie przedmiotu umowy zgodnie z SIWZ;</w:t>
      </w:r>
    </w:p>
    <w:p>
      <w:pPr>
        <w:pStyle w:val="Normal"/>
        <w:spacing w:lineRule="auto" w:line="276" w:before="0" w:after="120"/>
        <w:ind w:left="0" w:hanging="0"/>
        <w:jc w:val="both"/>
        <w:rPr>
          <w:szCs w:val="24"/>
        </w:rPr>
      </w:pPr>
      <w:r>
        <w:rPr>
          <w:szCs w:val="24"/>
        </w:rPr>
        <w:t xml:space="preserve">b) rezygnacja przez Zamawiającego z realizacji części przedmiotu umowy. W takim przypadku wynagrodzenie przysługujące Wykonawcy zostanie pomniejszone, przy czym Zamawiający zapłaci za wszystkie spełnione świadczenia oraz udokumentowane koszty, które Wykonawca poniósł w związku </w:t>
        <w:br/>
        <w:t>z wynikającymi z umowy planowanymi świadczeniami;</w:t>
      </w:r>
    </w:p>
    <w:p>
      <w:pPr>
        <w:pStyle w:val="Normal"/>
        <w:spacing w:lineRule="auto" w:line="276" w:before="0" w:after="120"/>
        <w:ind w:left="0" w:hanging="0"/>
        <w:jc w:val="both"/>
        <w:rPr>
          <w:szCs w:val="24"/>
        </w:rPr>
      </w:pPr>
      <w:r>
        <w:rPr>
          <w:szCs w:val="24"/>
        </w:rPr>
        <w:t>c) zakresu robót w związku z robotami zamiennymi, o których mowa w § 7 ust. 4-5 umowy;</w:t>
      </w:r>
    </w:p>
    <w:p>
      <w:pPr>
        <w:pStyle w:val="Normal"/>
        <w:spacing w:lineRule="auto" w:line="276" w:before="0" w:after="120"/>
        <w:ind w:left="0" w:hanging="0"/>
        <w:jc w:val="both"/>
        <w:rPr>
          <w:szCs w:val="24"/>
        </w:rPr>
      </w:pPr>
      <w:r>
        <w:rPr>
          <w:szCs w:val="24"/>
        </w:rPr>
        <w:t>d) zmiana lub rezygnacja z podwykonawcy dotycząca podmiotu wskazanego w ofercie, na którego zasoby wykonawca powoływał się, na zasadach określonych w art. 22a ust. 1 ustawy Prawo zamówień publicznych, w celu wykazania spełniania warunków udziału w postępowaniu, o których mowa w art. 22 ust. 1,Wykonawca jest obowiązany wykazać Zamawiającemu, że proponowany inny podwykonawca lub Wykonawca samodzielnie spełnia je w stopniu nie mniejszym niż podwykonawca, na którego zasoby wykonawca powoływał się w trakcie postępowania o udzielenie zamówienia;</w:t>
      </w:r>
    </w:p>
    <w:p>
      <w:pPr>
        <w:pStyle w:val="Normal"/>
        <w:spacing w:lineRule="auto" w:line="276" w:before="0" w:after="120"/>
        <w:ind w:left="0" w:hanging="0"/>
        <w:jc w:val="both"/>
        <w:rPr>
          <w:szCs w:val="24"/>
        </w:rPr>
      </w:pPr>
      <w:r>
        <w:rPr>
          <w:szCs w:val="24"/>
        </w:rPr>
        <w:t>e) w przypadku zgłoszenia przez Wykonawcę zamiaru zmiany sposobu wykonywania umowy poprzez podwykonawców, aneks do umowy uwzględni wówczas wymogi określone art. 647' k.c.</w:t>
      </w:r>
    </w:p>
    <w:p>
      <w:pPr>
        <w:pStyle w:val="Normal"/>
        <w:spacing w:lineRule="auto" w:line="276"/>
        <w:ind w:left="0" w:hanging="0"/>
        <w:jc w:val="both"/>
        <w:rPr>
          <w:szCs w:val="24"/>
        </w:rPr>
      </w:pPr>
      <w:r>
        <w:rPr>
          <w:szCs w:val="24"/>
        </w:rPr>
        <w:t>5. Wykonawca zobowiązuje się niezwłocznie poinformować Zamawiającego o zaistnieniu przesłanek stanowiących potrzebę zmiany umowy.</w:t>
      </w:r>
    </w:p>
    <w:p>
      <w:pPr>
        <w:pStyle w:val="Normal"/>
        <w:spacing w:lineRule="auto" w:line="252"/>
        <w:ind w:left="284" w:hanging="0"/>
        <w:rPr>
          <w:rFonts w:eastAsia="Calibri"/>
          <w:sz w:val="18"/>
          <w:szCs w:val="18"/>
        </w:rPr>
      </w:pPr>
      <w:r>
        <w:rPr>
          <w:rFonts w:eastAsia="Calibri"/>
          <w:sz w:val="18"/>
          <w:szCs w:val="18"/>
        </w:rPr>
      </w:r>
    </w:p>
    <w:p>
      <w:pPr>
        <w:pStyle w:val="Artyku"/>
        <w:numPr>
          <w:ilvl w:val="0"/>
          <w:numId w:val="9"/>
        </w:numPr>
        <w:rPr/>
      </w:pPr>
      <w:bookmarkStart w:id="19" w:name="_Toc496698280"/>
      <w:r>
        <w:rPr/>
        <w:t>Pouczenie o środkach ochrony prawnej przysługujących Wykonawcy w toku postępowania o udzielenie zamówienia</w:t>
      </w:r>
      <w:bookmarkEnd w:id="19"/>
    </w:p>
    <w:p>
      <w:pPr>
        <w:pStyle w:val="Normal"/>
        <w:spacing w:lineRule="auto" w:line="252"/>
        <w:ind w:left="284" w:hanging="0"/>
        <w:rPr>
          <w:rFonts w:eastAsia="Calibri"/>
          <w:b/>
          <w:b/>
          <w:bCs/>
          <w:szCs w:val="18"/>
        </w:rPr>
      </w:pPr>
      <w:r>
        <w:rPr>
          <w:rFonts w:eastAsia="Calibri"/>
          <w:b/>
          <w:bCs/>
          <w:szCs w:val="18"/>
        </w:rPr>
      </w:r>
    </w:p>
    <w:p>
      <w:pPr>
        <w:pStyle w:val="Normal"/>
        <w:spacing w:lineRule="auto" w:line="252" w:before="0" w:after="120"/>
        <w:ind w:left="0" w:hanging="0"/>
        <w:jc w:val="both"/>
        <w:rPr>
          <w:rFonts w:eastAsia="Calibri"/>
          <w:szCs w:val="18"/>
        </w:rPr>
      </w:pPr>
      <w:r>
        <w:rPr>
          <w:rFonts w:eastAsia="Calibri"/>
          <w:szCs w:val="18"/>
        </w:rPr>
        <w:t>1. 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pPr>
        <w:pStyle w:val="Normal"/>
        <w:spacing w:lineRule="auto" w:line="252" w:before="0" w:after="120"/>
        <w:ind w:left="0" w:hanging="0"/>
        <w:jc w:val="both"/>
        <w:rPr>
          <w:rFonts w:eastAsia="Calibri"/>
          <w:bCs/>
          <w:szCs w:val="18"/>
        </w:rPr>
      </w:pPr>
      <w:r>
        <w:rPr>
          <w:rFonts w:eastAsia="Calibri"/>
          <w:szCs w:val="18"/>
        </w:rPr>
        <w:t>2. Odwołanie przysługuje wyłącznie od czynności wymienionych w art.180 ust.2 pkt. 2-6 ustawy Pzp .</w:t>
      </w:r>
    </w:p>
    <w:p>
      <w:pPr>
        <w:pStyle w:val="Normal"/>
        <w:spacing w:lineRule="auto" w:line="252" w:before="0" w:after="120"/>
        <w:ind w:left="0" w:hanging="0"/>
        <w:jc w:val="both"/>
        <w:rPr>
          <w:rFonts w:eastAsia="Calibri"/>
          <w:szCs w:val="18"/>
        </w:rPr>
      </w:pPr>
      <w:r>
        <w:rPr>
          <w:rFonts w:eastAsia="Calibri"/>
          <w:szCs w:val="18"/>
        </w:rPr>
        <w:t>3. 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pPr>
        <w:pStyle w:val="Normal"/>
        <w:spacing w:lineRule="auto" w:line="252" w:before="0" w:after="120"/>
        <w:ind w:left="0" w:hanging="0"/>
        <w:jc w:val="both"/>
        <w:rPr>
          <w:rFonts w:eastAsia="Calibri"/>
          <w:szCs w:val="18"/>
        </w:rPr>
      </w:pPr>
      <w:r>
        <w:rPr>
          <w:rFonts w:eastAsia="Calibri"/>
          <w:szCs w:val="18"/>
        </w:rPr>
        <w:t>4. Odwołanie wnosi się do Prezesa Krajowej Izby Odwoławczej w formie pisemnej lub w postaci elektronicznej podpisane bezpiecznym podpisem elektronicznym weryfikowanym za pomocą ważnego kwalifikowanego certyfikatu lub równoważnego środka, spełniającego wymagania dla tego rodzaju podpisu.</w:t>
      </w:r>
    </w:p>
    <w:p>
      <w:pPr>
        <w:pStyle w:val="Normal"/>
        <w:spacing w:lineRule="auto" w:line="252"/>
        <w:ind w:left="0" w:hanging="0"/>
        <w:jc w:val="both"/>
        <w:rPr>
          <w:rFonts w:eastAsia="Calibri"/>
          <w:szCs w:val="18"/>
        </w:rPr>
      </w:pPr>
      <w:r>
        <w:rPr>
          <w:rFonts w:eastAsia="Calibri"/>
          <w:szCs w:val="18"/>
        </w:rPr>
        <w:t>5. 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pPr>
        <w:pStyle w:val="Normal"/>
        <w:spacing w:lineRule="auto" w:line="252"/>
        <w:ind w:left="284" w:hanging="0"/>
        <w:rPr>
          <w:rFonts w:eastAsia="Calibri"/>
          <w:sz w:val="18"/>
          <w:szCs w:val="18"/>
        </w:rPr>
      </w:pPr>
      <w:r>
        <w:rPr>
          <w:rFonts w:eastAsia="Calibri"/>
          <w:sz w:val="18"/>
          <w:szCs w:val="18"/>
        </w:rPr>
      </w:r>
    </w:p>
    <w:p>
      <w:pPr>
        <w:pStyle w:val="Artyku"/>
        <w:numPr>
          <w:ilvl w:val="0"/>
          <w:numId w:val="9"/>
        </w:numPr>
        <w:rPr/>
      </w:pPr>
      <w:bookmarkStart w:id="20" w:name="_Toc496698281"/>
      <w:r>
        <w:rPr/>
        <w:t>Opis części zamówienia</w:t>
      </w:r>
      <w:bookmarkEnd w:id="20"/>
    </w:p>
    <w:p>
      <w:pPr>
        <w:pStyle w:val="Normal"/>
        <w:spacing w:lineRule="auto" w:line="252"/>
        <w:ind w:left="284" w:hanging="0"/>
        <w:jc w:val="both"/>
        <w:rPr>
          <w:rFonts w:eastAsia="Calibri"/>
          <w:bCs/>
          <w:szCs w:val="18"/>
        </w:rPr>
      </w:pPr>
      <w:r>
        <w:rPr>
          <w:rFonts w:eastAsia="Calibri"/>
          <w:bCs/>
          <w:szCs w:val="18"/>
        </w:rPr>
      </w:r>
    </w:p>
    <w:p>
      <w:pPr>
        <w:pStyle w:val="Normal"/>
        <w:spacing w:lineRule="auto" w:line="252"/>
        <w:ind w:left="0" w:hanging="0"/>
        <w:jc w:val="both"/>
        <w:rPr>
          <w:rFonts w:eastAsia="Calibri"/>
          <w:bCs/>
          <w:szCs w:val="18"/>
        </w:rPr>
      </w:pPr>
      <w:r>
        <w:rPr>
          <w:rFonts w:eastAsia="Calibri"/>
          <w:szCs w:val="18"/>
        </w:rPr>
        <w:t xml:space="preserve">Zamawiający </w:t>
      </w:r>
      <w:r>
        <w:rPr>
          <w:rFonts w:eastAsia="Calibri"/>
          <w:b/>
          <w:szCs w:val="18"/>
        </w:rPr>
        <w:t>nie</w:t>
      </w:r>
      <w:r>
        <w:rPr>
          <w:rFonts w:eastAsia="Calibri"/>
          <w:b/>
          <w:bCs/>
          <w:szCs w:val="18"/>
        </w:rPr>
        <w:t xml:space="preserve">dopuszcza </w:t>
      </w:r>
      <w:r>
        <w:rPr>
          <w:rFonts w:eastAsia="Calibri"/>
          <w:szCs w:val="18"/>
        </w:rPr>
        <w:t xml:space="preserve">składania ofert częściowych. </w:t>
      </w:r>
    </w:p>
    <w:p>
      <w:pPr>
        <w:pStyle w:val="Normal"/>
        <w:spacing w:lineRule="auto" w:line="252"/>
        <w:ind w:left="284" w:hanging="0"/>
        <w:jc w:val="both"/>
        <w:rPr>
          <w:rFonts w:eastAsia="Calibri"/>
          <w:bCs/>
          <w:szCs w:val="18"/>
        </w:rPr>
      </w:pPr>
      <w:r>
        <w:rPr>
          <w:rFonts w:eastAsia="Calibri"/>
          <w:bCs/>
          <w:szCs w:val="18"/>
        </w:rPr>
      </w:r>
    </w:p>
    <w:p>
      <w:pPr>
        <w:pStyle w:val="Artyku"/>
        <w:numPr>
          <w:ilvl w:val="0"/>
          <w:numId w:val="9"/>
        </w:numPr>
        <w:rPr/>
      </w:pPr>
      <w:bookmarkStart w:id="21" w:name="_Toc496698282"/>
      <w:r>
        <w:rPr/>
        <w:t xml:space="preserve">Umowa ramowa, zamówienia, o których mowa w art. 67 ust. 1 pkt. 7 ustawy, </w:t>
        <w:br/>
        <w:t>oferty wariantowe</w:t>
      </w:r>
      <w:bookmarkEnd w:id="21"/>
    </w:p>
    <w:p>
      <w:pPr>
        <w:pStyle w:val="Normal"/>
        <w:spacing w:lineRule="auto" w:line="252"/>
        <w:ind w:left="284" w:hanging="0"/>
        <w:jc w:val="both"/>
        <w:rPr>
          <w:rFonts w:eastAsia="Calibri"/>
          <w:szCs w:val="18"/>
        </w:rPr>
      </w:pPr>
      <w:r>
        <w:rPr>
          <w:rFonts w:eastAsia="Calibri"/>
          <w:szCs w:val="18"/>
        </w:rPr>
      </w:r>
    </w:p>
    <w:p>
      <w:pPr>
        <w:pStyle w:val="Normal"/>
        <w:spacing w:lineRule="auto" w:line="252"/>
        <w:ind w:left="0" w:hanging="0"/>
        <w:jc w:val="both"/>
        <w:rPr>
          <w:rFonts w:eastAsia="Calibri"/>
          <w:szCs w:val="18"/>
        </w:rPr>
      </w:pPr>
      <w:r>
        <w:rPr>
          <w:rFonts w:eastAsia="Calibri"/>
          <w:szCs w:val="18"/>
        </w:rPr>
        <w:t xml:space="preserve">1. Zamawiający </w:t>
      </w:r>
      <w:r>
        <w:rPr>
          <w:rFonts w:eastAsia="Calibri"/>
          <w:b/>
          <w:bCs/>
          <w:szCs w:val="18"/>
        </w:rPr>
        <w:t xml:space="preserve">nie przewiduje </w:t>
      </w:r>
      <w:r>
        <w:rPr>
          <w:rFonts w:eastAsia="Calibri"/>
          <w:szCs w:val="18"/>
        </w:rPr>
        <w:t>zawarcia umowy ramowej.</w:t>
      </w:r>
    </w:p>
    <w:p>
      <w:pPr>
        <w:pStyle w:val="Normal"/>
        <w:spacing w:lineRule="auto" w:line="252"/>
        <w:ind w:left="0" w:hanging="0"/>
        <w:jc w:val="both"/>
        <w:rPr>
          <w:rFonts w:eastAsia="Calibri"/>
          <w:szCs w:val="18"/>
        </w:rPr>
      </w:pPr>
      <w:r>
        <w:rPr>
          <w:rFonts w:eastAsia="Calibri"/>
          <w:szCs w:val="18"/>
        </w:rPr>
        <w:t xml:space="preserve">2. Zamawiający </w:t>
      </w:r>
      <w:r>
        <w:rPr>
          <w:rFonts w:eastAsia="Calibri"/>
          <w:b/>
          <w:szCs w:val="18"/>
        </w:rPr>
        <w:t>nie</w:t>
      </w:r>
      <w:r>
        <w:rPr>
          <w:rFonts w:eastAsia="Calibri"/>
          <w:b/>
          <w:bCs/>
          <w:szCs w:val="18"/>
        </w:rPr>
        <w:t xml:space="preserve"> przewiduje </w:t>
      </w:r>
      <w:r>
        <w:rPr>
          <w:rFonts w:eastAsia="Calibri"/>
          <w:szCs w:val="18"/>
        </w:rPr>
        <w:t>udzielenie zamówień, o których mowa w art. 67 ust. 1 pkt. 7 ustawy.</w:t>
      </w:r>
    </w:p>
    <w:p>
      <w:pPr>
        <w:pStyle w:val="Normal"/>
        <w:spacing w:lineRule="auto" w:line="252"/>
        <w:ind w:left="0" w:hanging="0"/>
        <w:jc w:val="both"/>
        <w:rPr>
          <w:rFonts w:eastAsia="Calibri"/>
          <w:szCs w:val="18"/>
        </w:rPr>
      </w:pPr>
      <w:r>
        <w:rPr>
          <w:rFonts w:eastAsia="Calibri"/>
          <w:szCs w:val="18"/>
        </w:rPr>
        <w:t xml:space="preserve">3. Zamawiający </w:t>
      </w:r>
      <w:r>
        <w:rPr>
          <w:rFonts w:eastAsia="Calibri"/>
          <w:b/>
          <w:bCs/>
          <w:szCs w:val="18"/>
        </w:rPr>
        <w:t xml:space="preserve">nie dopuszcza </w:t>
      </w:r>
      <w:r>
        <w:rPr>
          <w:rFonts w:eastAsia="Calibri"/>
          <w:szCs w:val="18"/>
        </w:rPr>
        <w:t>składania ofert wariantowych.</w:t>
      </w:r>
    </w:p>
    <w:p>
      <w:pPr>
        <w:pStyle w:val="Normal"/>
        <w:spacing w:lineRule="auto" w:line="252"/>
        <w:ind w:left="284" w:hanging="0"/>
        <w:jc w:val="both"/>
        <w:rPr>
          <w:rFonts w:eastAsia="Calibri"/>
          <w:b/>
          <w:b/>
          <w:bCs/>
          <w:szCs w:val="18"/>
        </w:rPr>
      </w:pPr>
      <w:r>
        <w:rPr>
          <w:rFonts w:eastAsia="Calibri"/>
          <w:b/>
          <w:bCs/>
          <w:szCs w:val="18"/>
        </w:rPr>
      </w:r>
    </w:p>
    <w:p>
      <w:pPr>
        <w:pStyle w:val="Artyku"/>
        <w:numPr>
          <w:ilvl w:val="0"/>
          <w:numId w:val="9"/>
        </w:numPr>
        <w:rPr/>
      </w:pPr>
      <w:bookmarkStart w:id="22" w:name="_Toc496698283"/>
      <w:r>
        <w:rPr/>
        <w:t>Aukcja elektroniczna</w:t>
      </w:r>
      <w:bookmarkEnd w:id="22"/>
    </w:p>
    <w:p>
      <w:pPr>
        <w:pStyle w:val="Normal"/>
        <w:spacing w:lineRule="auto" w:line="252"/>
        <w:ind w:left="0" w:firstLine="284"/>
        <w:jc w:val="both"/>
        <w:rPr>
          <w:rFonts w:eastAsia="Calibri"/>
          <w:szCs w:val="18"/>
        </w:rPr>
      </w:pPr>
      <w:r>
        <w:rPr>
          <w:rFonts w:eastAsia="Calibri"/>
          <w:szCs w:val="18"/>
        </w:rPr>
        <w:t xml:space="preserve">Zamawiający </w:t>
      </w:r>
      <w:r>
        <w:rPr>
          <w:rFonts w:eastAsia="Calibri"/>
          <w:b/>
          <w:bCs/>
          <w:szCs w:val="18"/>
        </w:rPr>
        <w:t xml:space="preserve">nie przewiduje </w:t>
      </w:r>
      <w:r>
        <w:rPr>
          <w:rFonts w:eastAsia="Calibri"/>
          <w:szCs w:val="18"/>
        </w:rPr>
        <w:t>zastosowania w celu wyboru Wykonawcy aukcji elektronicznej.</w:t>
      </w:r>
    </w:p>
    <w:p>
      <w:pPr>
        <w:pStyle w:val="Normal"/>
        <w:spacing w:lineRule="auto" w:line="252"/>
        <w:ind w:left="0" w:firstLine="284"/>
        <w:jc w:val="both"/>
        <w:rPr>
          <w:rFonts w:eastAsia="Calibri"/>
          <w:bCs/>
          <w:szCs w:val="18"/>
        </w:rPr>
      </w:pPr>
      <w:r>
        <w:rPr>
          <w:rFonts w:eastAsia="Calibri"/>
          <w:bCs/>
          <w:szCs w:val="18"/>
        </w:rPr>
      </w:r>
    </w:p>
    <w:p>
      <w:pPr>
        <w:pStyle w:val="Artyku"/>
        <w:numPr>
          <w:ilvl w:val="0"/>
          <w:numId w:val="9"/>
        </w:numPr>
        <w:rPr/>
      </w:pPr>
      <w:bookmarkStart w:id="23" w:name="_Toc496698284"/>
      <w:r>
        <w:rPr/>
        <w:t>Informacje dotyczące rozliczeń z zamawiającym</w:t>
      </w:r>
      <w:bookmarkEnd w:id="23"/>
    </w:p>
    <w:p>
      <w:pPr>
        <w:pStyle w:val="Normal"/>
        <w:spacing w:lineRule="auto" w:line="252"/>
        <w:ind w:left="284" w:hanging="0"/>
        <w:jc w:val="both"/>
        <w:rPr>
          <w:rFonts w:eastAsia="Calibri"/>
          <w:szCs w:val="18"/>
        </w:rPr>
      </w:pPr>
      <w:r>
        <w:rPr>
          <w:rFonts w:eastAsia="Calibri"/>
          <w:szCs w:val="18"/>
        </w:rPr>
        <w:t xml:space="preserve">Zamawiający </w:t>
      </w:r>
      <w:r>
        <w:rPr>
          <w:rFonts w:eastAsia="Calibri"/>
          <w:b/>
          <w:bCs/>
          <w:szCs w:val="18"/>
        </w:rPr>
        <w:t xml:space="preserve">nie dopuszcza </w:t>
      </w:r>
      <w:r>
        <w:rPr>
          <w:rFonts w:eastAsia="Calibri"/>
          <w:szCs w:val="18"/>
        </w:rPr>
        <w:t>rozliczeń w walutach obcych.</w:t>
      </w:r>
    </w:p>
    <w:p>
      <w:pPr>
        <w:pStyle w:val="Normal"/>
        <w:spacing w:lineRule="auto" w:line="252"/>
        <w:jc w:val="both"/>
        <w:rPr>
          <w:rFonts w:eastAsia="Calibri"/>
          <w:bCs/>
          <w:szCs w:val="18"/>
        </w:rPr>
      </w:pPr>
      <w:r>
        <w:rPr>
          <w:rFonts w:eastAsia="Calibri"/>
          <w:bCs/>
          <w:szCs w:val="18"/>
        </w:rPr>
      </w:r>
    </w:p>
    <w:p>
      <w:pPr>
        <w:pStyle w:val="Artyku"/>
        <w:numPr>
          <w:ilvl w:val="0"/>
          <w:numId w:val="9"/>
        </w:numPr>
        <w:rPr/>
      </w:pPr>
      <w:bookmarkStart w:id="24" w:name="_Toc496698285"/>
      <w:r>
        <w:rPr/>
        <w:t>Koszty udziału w postępowaniu o zamówienie publiczne</w:t>
      </w:r>
      <w:bookmarkEnd w:id="24"/>
    </w:p>
    <w:p>
      <w:pPr>
        <w:pStyle w:val="Normal"/>
        <w:spacing w:lineRule="auto" w:line="252"/>
        <w:ind w:left="284" w:hanging="0"/>
        <w:jc w:val="both"/>
        <w:rPr>
          <w:rFonts w:eastAsia="Calibri"/>
          <w:szCs w:val="18"/>
        </w:rPr>
      </w:pPr>
      <w:r>
        <w:rPr>
          <w:rFonts w:eastAsia="Calibri"/>
          <w:bCs/>
          <w:szCs w:val="18"/>
        </w:rPr>
        <w:t>K</w:t>
      </w:r>
      <w:r>
        <w:rPr>
          <w:rFonts w:eastAsia="Calibri"/>
          <w:szCs w:val="18"/>
        </w:rPr>
        <w:t>oszty przygotowania i złożenia oferty ponosi Wykonawca.</w:t>
      </w:r>
    </w:p>
    <w:p>
      <w:pPr>
        <w:pStyle w:val="Normal"/>
        <w:spacing w:lineRule="auto" w:line="252"/>
        <w:ind w:left="0" w:hanging="0"/>
        <w:jc w:val="both"/>
        <w:rPr>
          <w:rFonts w:eastAsia="Calibri"/>
          <w:szCs w:val="18"/>
        </w:rPr>
      </w:pPr>
      <w:r>
        <w:rPr>
          <w:rFonts w:eastAsia="Calibri"/>
          <w:szCs w:val="18"/>
        </w:rPr>
      </w:r>
    </w:p>
    <w:p>
      <w:pPr>
        <w:pStyle w:val="Artyku"/>
        <w:numPr>
          <w:ilvl w:val="0"/>
          <w:numId w:val="9"/>
        </w:numPr>
        <w:rPr/>
      </w:pPr>
      <w:bookmarkStart w:id="25" w:name="_Toc496698286"/>
      <w:r>
        <w:rPr>
          <w:bCs/>
        </w:rPr>
        <w:t>Postanowienia końcowe - z</w:t>
      </w:r>
      <w:r>
        <w:rPr/>
        <w:t>asady udostępniania dokumentów</w:t>
      </w:r>
      <w:bookmarkEnd w:id="25"/>
    </w:p>
    <w:p>
      <w:pPr>
        <w:pStyle w:val="Normal"/>
        <w:spacing w:lineRule="auto" w:line="252"/>
        <w:ind w:left="284" w:hanging="0"/>
        <w:jc w:val="both"/>
        <w:rPr>
          <w:rFonts w:eastAsia="Calibri"/>
          <w:bCs/>
          <w:szCs w:val="18"/>
        </w:rPr>
      </w:pPr>
      <w:r>
        <w:rPr>
          <w:rFonts w:eastAsia="Calibri"/>
          <w:bCs/>
          <w:szCs w:val="18"/>
        </w:rPr>
      </w:r>
    </w:p>
    <w:p>
      <w:pPr>
        <w:pStyle w:val="Normal"/>
        <w:spacing w:lineRule="auto" w:line="252"/>
        <w:ind w:left="0" w:hanging="0"/>
        <w:jc w:val="both"/>
        <w:rPr>
          <w:rFonts w:eastAsia="Calibri"/>
          <w:szCs w:val="18"/>
        </w:rPr>
      </w:pPr>
      <w:r>
        <w:rPr>
          <w:rFonts w:eastAsia="Calibri"/>
          <w:szCs w:val="18"/>
        </w:rPr>
        <w:t>1. Uczestnicy postępowania mają prawo wglądu do treści protokołu, wniosków po upływie terminu ich składania oraz ofert w trakcie prowadzonego postępowania z wyjątkiem dokumentów stanowiących załączniki do protokołu (jawne po zakończeniu postępowania) oraz stanowiących tajemnicę przedsiębiorstwa w rozumieniu przepisów o zwalczaniu nieuczciwej konkurencji zastrzeżonych przez uczestników postępowania.</w:t>
      </w:r>
    </w:p>
    <w:p>
      <w:pPr>
        <w:pStyle w:val="Normal"/>
        <w:spacing w:lineRule="auto" w:line="252"/>
        <w:ind w:left="0" w:hanging="0"/>
        <w:jc w:val="both"/>
        <w:rPr>
          <w:rFonts w:eastAsia="Calibri"/>
          <w:szCs w:val="18"/>
        </w:rPr>
      </w:pPr>
      <w:r>
        <w:rPr>
          <w:rFonts w:eastAsia="Calibri"/>
          <w:szCs w:val="18"/>
        </w:rPr>
        <w:t>2. W sprawach nieuregulowanych zastosowanie mają przepisy ustawy Prawo zamówień publicznych oraz Kodeks cywilny.</w:t>
      </w:r>
    </w:p>
    <w:p>
      <w:pPr>
        <w:pStyle w:val="Normal"/>
        <w:spacing w:lineRule="auto" w:line="252"/>
        <w:ind w:left="284" w:hanging="0"/>
        <w:jc w:val="both"/>
        <w:rPr>
          <w:rFonts w:eastAsia="Calibri"/>
          <w:szCs w:val="18"/>
        </w:rPr>
      </w:pPr>
      <w:r>
        <w:rPr>
          <w:rFonts w:eastAsia="Calibri"/>
          <w:szCs w:val="18"/>
        </w:rPr>
      </w:r>
    </w:p>
    <w:p>
      <w:pPr>
        <w:pStyle w:val="Normal"/>
        <w:spacing w:lineRule="auto" w:line="252"/>
        <w:ind w:left="284" w:hanging="0"/>
        <w:jc w:val="both"/>
        <w:rPr>
          <w:rFonts w:eastAsia="Calibri"/>
          <w:szCs w:val="18"/>
        </w:rPr>
      </w:pPr>
      <w:r>
        <w:rPr>
          <w:rFonts w:eastAsia="Calibri"/>
          <w:szCs w:val="18"/>
        </w:rPr>
        <w:t xml:space="preserve">Załączniki </w:t>
      </w:r>
      <w:r>
        <w:rPr>
          <w:szCs w:val="18"/>
        </w:rPr>
        <w:t>składające się na integralną cześć specyfikacji:</w:t>
      </w:r>
      <w:r>
        <w:rPr>
          <w:rFonts w:eastAsia="Calibri"/>
          <w:szCs w:val="18"/>
        </w:rPr>
        <w:t>:</w:t>
      </w:r>
    </w:p>
    <w:p>
      <w:pPr>
        <w:pStyle w:val="Normal"/>
        <w:ind w:left="0" w:hanging="0"/>
        <w:jc w:val="both"/>
        <w:rPr>
          <w:szCs w:val="18"/>
        </w:rPr>
      </w:pPr>
      <w:r>
        <w:rPr>
          <w:szCs w:val="18"/>
        </w:rPr>
      </w:r>
    </w:p>
    <w:p>
      <w:pPr>
        <w:pStyle w:val="Normal"/>
        <w:ind w:left="0" w:hanging="0"/>
        <w:jc w:val="both"/>
        <w:rPr>
          <w:szCs w:val="18"/>
        </w:rPr>
      </w:pPr>
      <w:r>
        <w:rPr>
          <w:szCs w:val="18"/>
        </w:rPr>
        <w:t>1. Formularz oferty (zał. Nr 1) z załącznikami ( zał. nr od 1a do 1e)</w:t>
      </w:r>
    </w:p>
    <w:p>
      <w:pPr>
        <w:pStyle w:val="Normal"/>
        <w:ind w:left="0" w:hanging="0"/>
        <w:jc w:val="both"/>
        <w:rPr>
          <w:szCs w:val="18"/>
        </w:rPr>
      </w:pPr>
      <w:r>
        <w:rPr>
          <w:szCs w:val="18"/>
        </w:rPr>
        <w:t>2. Wzór umowy (zał. nr 2)</w:t>
      </w:r>
    </w:p>
    <w:p>
      <w:pPr>
        <w:pStyle w:val="Normal"/>
        <w:ind w:left="0" w:hanging="0"/>
        <w:jc w:val="both"/>
        <w:rPr>
          <w:szCs w:val="18"/>
        </w:rPr>
      </w:pPr>
      <w:r>
        <w:rPr>
          <w:szCs w:val="18"/>
        </w:rPr>
        <w:t>3. Wzór zobowiązania podmiotu trzeciego (zał. nr 3)</w:t>
      </w:r>
    </w:p>
    <w:p>
      <w:pPr>
        <w:pStyle w:val="Normal"/>
        <w:ind w:left="0" w:hanging="0"/>
        <w:jc w:val="both"/>
        <w:rPr>
          <w:szCs w:val="18"/>
        </w:rPr>
      </w:pPr>
      <w:r>
        <w:rPr>
          <w:szCs w:val="18"/>
        </w:rPr>
        <w:t>4. Dokumentacja projektowa (zał. nr 4)</w:t>
      </w:r>
    </w:p>
    <w:p>
      <w:pPr>
        <w:pStyle w:val="Normal"/>
        <w:ind w:left="0" w:hanging="0"/>
        <w:jc w:val="both"/>
        <w:rPr>
          <w:szCs w:val="18"/>
        </w:rPr>
      </w:pPr>
      <w:r>
        <w:rPr>
          <w:szCs w:val="18"/>
        </w:rPr>
        <w:t>5. Przedmiary robót (zał. nr 5)</w:t>
      </w:r>
    </w:p>
    <w:p>
      <w:pPr>
        <w:pStyle w:val="Normal"/>
        <w:ind w:left="0" w:hanging="0"/>
        <w:jc w:val="both"/>
        <w:rPr>
          <w:szCs w:val="18"/>
        </w:rPr>
      </w:pPr>
      <w:r>
        <w:rPr>
          <w:szCs w:val="18"/>
        </w:rPr>
        <w:t>6. Szczegółowa Specyfikacja Techniczna Wykonania i Odbioru Robót (zał. nr 6)</w:t>
      </w:r>
    </w:p>
    <w:p>
      <w:pPr>
        <w:pStyle w:val="Normal"/>
        <w:ind w:left="0" w:hanging="0"/>
        <w:jc w:val="both"/>
        <w:rPr/>
      </w:pPr>
      <w:r>
        <w:rPr/>
      </w:r>
    </w:p>
    <w:sectPr>
      <w:footerReference w:type="default" r:id="rId5"/>
      <w:type w:val="nextPage"/>
      <w:pgSz w:w="11906" w:h="16838"/>
      <w:pgMar w:left="720" w:right="720" w:header="0" w:top="720" w:footer="0" w:bottom="720"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Cambria">
    <w:charset w:val="ee"/>
    <w:family w:val="roman"/>
    <w:pitch w:val="variable"/>
  </w:font>
  <w:font w:name="Tahoma">
    <w:charset w:val="ee"/>
    <w:family w:val="roman"/>
    <w:pitch w:val="variable"/>
  </w:font>
  <w:font w:name="Liberation Sans">
    <w:altName w:val="Arial"/>
    <w:charset w:val="ee"/>
    <w:family w:val="roman"/>
    <w:pitch w:val="variable"/>
  </w:font>
  <w:font w:name="Calibri">
    <w:charset w:val="ee"/>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143509297"/>
    </w:sdtPr>
    <w:sdtContent>
      <w:p>
        <w:pPr>
          <w:pStyle w:val="Stopka"/>
          <w:jc w:val="center"/>
          <w:rPr/>
        </w:pPr>
        <w:r>
          <w:rPr/>
          <w:fldChar w:fldCharType="begin"/>
        </w:r>
        <w:r>
          <w:rPr/>
          <w:instrText> PAGE </w:instrText>
        </w:r>
        <w:r>
          <w:rPr/>
          <w:fldChar w:fldCharType="separate"/>
        </w:r>
        <w:r>
          <w:rPr/>
          <w:t>23</w:t>
        </w:r>
        <w:r>
          <w:rPr/>
          <w:fldChar w:fldCharType="end"/>
        </w:r>
      </w:p>
    </w:sdtContent>
  </w:sdt>
  <w:p>
    <w:pPr>
      <w:pStyle w:val="Stopka"/>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left"/>
      <w:pPr>
        <w:ind w:left="1077" w:hanging="720"/>
      </w:p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6">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7">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lvl w:ilvl="0">
      <w:start w:val="1"/>
      <w:numFmt w:val="bullet"/>
      <w:lvlText w:val="˗"/>
      <w:lvlJc w:val="left"/>
      <w:pPr>
        <w:ind w:left="720" w:hanging="360"/>
      </w:pPr>
      <w:rPr>
        <w:rFonts w:ascii="Times New Roman" w:hAnsi="Times New Roman" w:cs="Times New Roman" w:hint="default"/>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9">
    <w:lvl w:ilvl="0">
      <w:start w:val="4"/>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78"/>
  <w:defaultTabStop w:val="708"/>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Times New Roman" w:eastAsiaTheme="minorHAnsi"/>
        <w:szCs w:val="22"/>
        <w:lang w:val="pl-PL"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35e78"/>
    <w:pPr>
      <w:widowControl/>
      <w:bidi w:val="0"/>
      <w:ind w:left="584" w:hanging="227"/>
      <w:jc w:val="left"/>
    </w:pPr>
    <w:rPr>
      <w:rFonts w:ascii="Times New Roman" w:hAnsi="Times New Roman" w:eastAsia="Calibri" w:cs="Times New Roman" w:eastAsiaTheme="minorHAnsi"/>
      <w:color w:val="auto"/>
      <w:kern w:val="0"/>
      <w:sz w:val="24"/>
      <w:szCs w:val="22"/>
      <w:lang w:val="pl-PL" w:eastAsia="en-US" w:bidi="ar-SA"/>
    </w:rPr>
  </w:style>
  <w:style w:type="paragraph" w:styleId="Nagwek1" w:customStyle="1">
    <w:name w:val="Heading 1"/>
    <w:basedOn w:val="Normal"/>
    <w:link w:val="Nagwek1Znak"/>
    <w:uiPriority w:val="9"/>
    <w:qFormat/>
    <w:rsid w:val="003c772e"/>
    <w:pPr>
      <w:keepNext w:val="true"/>
      <w:keepLines/>
      <w:spacing w:before="480" w:after="0"/>
      <w:outlineLvl w:val="0"/>
    </w:pPr>
    <w:rPr>
      <w:rFonts w:eastAsia="" w:cs="" w:cstheme="majorBidi" w:eastAsiaTheme="majorEastAsia"/>
      <w:b/>
      <w:bCs/>
      <w:szCs w:val="28"/>
    </w:rPr>
  </w:style>
  <w:style w:type="paragraph" w:styleId="Nagwek2" w:customStyle="1">
    <w:name w:val="Heading 2"/>
    <w:basedOn w:val="Normal"/>
    <w:link w:val="Nagwek2Znak"/>
    <w:uiPriority w:val="9"/>
    <w:unhideWhenUsed/>
    <w:qFormat/>
    <w:rsid w:val="003c772e"/>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Nagwek3" w:customStyle="1">
    <w:name w:val="Heading 3"/>
    <w:basedOn w:val="Normal"/>
    <w:link w:val="Nagwek3Znak"/>
    <w:uiPriority w:val="9"/>
    <w:semiHidden/>
    <w:unhideWhenUsed/>
    <w:qFormat/>
    <w:rsid w:val="002f3a8e"/>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character" w:styleId="DefaultParagraphFont" w:default="1">
    <w:name w:val="Default Paragraph Font"/>
    <w:uiPriority w:val="1"/>
    <w:semiHidden/>
    <w:unhideWhenUsed/>
    <w:qFormat/>
    <w:rPr/>
  </w:style>
  <w:style w:type="character" w:styleId="Czeinternetowe" w:customStyle="1">
    <w:name w:val="Łącze internetowe"/>
    <w:basedOn w:val="DefaultParagraphFont"/>
    <w:uiPriority w:val="99"/>
    <w:unhideWhenUsed/>
    <w:rsid w:val="00ce4d89"/>
    <w:rPr>
      <w:color w:val="0000FF" w:themeColor="hyperlink"/>
      <w:u w:val="single"/>
    </w:rPr>
  </w:style>
  <w:style w:type="character" w:styleId="Nagwek1Znak" w:customStyle="1">
    <w:name w:val="Nagłówek 1 Znak"/>
    <w:basedOn w:val="DefaultParagraphFont"/>
    <w:link w:val="Heading1"/>
    <w:uiPriority w:val="9"/>
    <w:qFormat/>
    <w:rsid w:val="003c772e"/>
    <w:rPr>
      <w:rFonts w:eastAsia="" w:cs="" w:cstheme="majorBidi" w:eastAsiaTheme="majorEastAsia"/>
      <w:b/>
      <w:bCs/>
      <w:szCs w:val="28"/>
    </w:rPr>
  </w:style>
  <w:style w:type="character" w:styleId="Nagwek2Znak" w:customStyle="1">
    <w:name w:val="Nagłówek 2 Znak"/>
    <w:basedOn w:val="DefaultParagraphFont"/>
    <w:link w:val="Heading2"/>
    <w:uiPriority w:val="9"/>
    <w:qFormat/>
    <w:rsid w:val="003c772e"/>
    <w:rPr>
      <w:rFonts w:ascii="Cambria" w:hAnsi="Cambria" w:eastAsia="" w:cs="" w:asciiTheme="majorHAnsi" w:cstheme="majorBidi" w:eastAsiaTheme="majorEastAsia" w:hAnsiTheme="majorHAnsi"/>
      <w:b/>
      <w:bCs/>
      <w:color w:val="4F81BD" w:themeColor="accent1"/>
      <w:sz w:val="26"/>
      <w:szCs w:val="26"/>
    </w:rPr>
  </w:style>
  <w:style w:type="character" w:styleId="TytuZnak" w:customStyle="1">
    <w:name w:val="Tytuł Znak"/>
    <w:basedOn w:val="DefaultParagraphFont"/>
    <w:link w:val="Tytu"/>
    <w:uiPriority w:val="10"/>
    <w:qFormat/>
    <w:rsid w:val="003c772e"/>
    <w:rPr>
      <w:rFonts w:ascii="Cambria" w:hAnsi="Cambria" w:eastAsia="" w:cs="" w:asciiTheme="majorHAnsi" w:cstheme="majorBidi" w:eastAsiaTheme="majorEastAsia" w:hAnsiTheme="majorHAnsi"/>
      <w:color w:val="17365D" w:themeColor="text2" w:themeShade="bf"/>
      <w:spacing w:val="5"/>
      <w:kern w:val="2"/>
      <w:sz w:val="52"/>
      <w:szCs w:val="52"/>
    </w:rPr>
  </w:style>
  <w:style w:type="character" w:styleId="PodtytuZnak" w:customStyle="1">
    <w:name w:val="Podtytuł Znak"/>
    <w:basedOn w:val="DefaultParagraphFont"/>
    <w:link w:val="Podtytu"/>
    <w:uiPriority w:val="11"/>
    <w:qFormat/>
    <w:rsid w:val="003c772e"/>
    <w:rPr>
      <w:rFonts w:ascii="Cambria" w:hAnsi="Cambria" w:eastAsia="" w:cs="" w:asciiTheme="majorHAnsi" w:cstheme="majorBidi" w:eastAsiaTheme="majorEastAsia" w:hAnsiTheme="majorHAnsi"/>
      <w:i/>
      <w:iCs/>
      <w:color w:val="4F81BD" w:themeColor="accent1"/>
      <w:spacing w:val="15"/>
      <w:szCs w:val="24"/>
    </w:rPr>
  </w:style>
  <w:style w:type="character" w:styleId="AkapitzlistZnak" w:customStyle="1">
    <w:name w:val="Akapit z listą Znak"/>
    <w:basedOn w:val="DefaultParagraphFont"/>
    <w:link w:val="Akapitzlist"/>
    <w:uiPriority w:val="34"/>
    <w:qFormat/>
    <w:rsid w:val="003c772e"/>
    <w:rPr/>
  </w:style>
  <w:style w:type="character" w:styleId="ArtykuZnak" w:customStyle="1">
    <w:name w:val="Artykuł Znak"/>
    <w:basedOn w:val="AkapitzlistZnak"/>
    <w:link w:val="Artyku"/>
    <w:qFormat/>
    <w:rsid w:val="003c772e"/>
    <w:rPr/>
  </w:style>
  <w:style w:type="character" w:styleId="UstpZnak" w:customStyle="1">
    <w:name w:val="Ustęp Znak"/>
    <w:basedOn w:val="AkapitzlistZnak"/>
    <w:link w:val="Ustp"/>
    <w:qFormat/>
    <w:rsid w:val="003c772e"/>
    <w:rPr>
      <w:rFonts w:eastAsia="Arial Narrow"/>
      <w:kern w:val="2"/>
      <w:szCs w:val="18"/>
      <w:lang w:eastAsia="pl-PL"/>
    </w:rPr>
  </w:style>
  <w:style w:type="character" w:styleId="PunktZnak" w:customStyle="1">
    <w:name w:val="Punkt Znak"/>
    <w:basedOn w:val="DefaultParagraphFont"/>
    <w:link w:val="Punkt"/>
    <w:qFormat/>
    <w:rsid w:val="003c772e"/>
    <w:rPr>
      <w:rFonts w:eastAsia="Arial Narrow"/>
      <w:kern w:val="2"/>
      <w:szCs w:val="18"/>
      <w:lang w:eastAsia="pl-PL"/>
    </w:rPr>
  </w:style>
  <w:style w:type="character" w:styleId="PodpunktZnak" w:customStyle="1">
    <w:name w:val="Podpunkt Znak"/>
    <w:basedOn w:val="DefaultParagraphFont"/>
    <w:link w:val="Podpunkt"/>
    <w:qFormat/>
    <w:rsid w:val="005823b4"/>
    <w:rPr>
      <w:rFonts w:eastAsia="Arial Narrow"/>
      <w:kern w:val="2"/>
      <w:szCs w:val="18"/>
      <w:lang w:eastAsia="pl-PL"/>
    </w:rPr>
  </w:style>
  <w:style w:type="character" w:styleId="PodpodpunktZnak" w:customStyle="1">
    <w:name w:val="Pod podpunkt Znak"/>
    <w:basedOn w:val="DefaultParagraphFont"/>
    <w:link w:val="Podpodpunkt"/>
    <w:qFormat/>
    <w:rsid w:val="005823b4"/>
    <w:rPr>
      <w:rFonts w:eastAsia="Arial Narrow"/>
      <w:kern w:val="2"/>
      <w:szCs w:val="18"/>
      <w:lang w:eastAsia="pl-PL"/>
    </w:rPr>
  </w:style>
  <w:style w:type="character" w:styleId="NagwekZnak" w:customStyle="1">
    <w:name w:val="Nagłówek Znak"/>
    <w:basedOn w:val="DefaultParagraphFont"/>
    <w:link w:val="Nagwek"/>
    <w:uiPriority w:val="99"/>
    <w:semiHidden/>
    <w:qFormat/>
    <w:rsid w:val="00d20b85"/>
    <w:rPr/>
  </w:style>
  <w:style w:type="character" w:styleId="StopkaZnak" w:customStyle="1">
    <w:name w:val="Stopka Znak"/>
    <w:basedOn w:val="DefaultParagraphFont"/>
    <w:link w:val="Footer"/>
    <w:uiPriority w:val="99"/>
    <w:qFormat/>
    <w:rsid w:val="00d20b85"/>
    <w:rPr/>
  </w:style>
  <w:style w:type="character" w:styleId="TekstdymkaZnak" w:customStyle="1">
    <w:name w:val="Tekst dymka Znak"/>
    <w:basedOn w:val="DefaultParagraphFont"/>
    <w:link w:val="Tekstdymka"/>
    <w:uiPriority w:val="99"/>
    <w:semiHidden/>
    <w:qFormat/>
    <w:rsid w:val="002c601c"/>
    <w:rPr>
      <w:rFonts w:ascii="Tahoma" w:hAnsi="Tahoma" w:cs="Tahoma"/>
      <w:sz w:val="16"/>
      <w:szCs w:val="16"/>
    </w:rPr>
  </w:style>
  <w:style w:type="character" w:styleId="Nagwek3Znak" w:customStyle="1">
    <w:name w:val="Nagłówek 3 Znak"/>
    <w:basedOn w:val="DefaultParagraphFont"/>
    <w:link w:val="Heading3"/>
    <w:uiPriority w:val="9"/>
    <w:semiHidden/>
    <w:qFormat/>
    <w:rsid w:val="002f3a8e"/>
    <w:rPr>
      <w:rFonts w:ascii="Cambria" w:hAnsi="Cambria" w:eastAsia="" w:cs="" w:asciiTheme="majorHAnsi" w:cstheme="majorBidi" w:eastAsiaTheme="majorEastAsia" w:hAnsiTheme="majorHAnsi"/>
      <w:b/>
      <w:bCs/>
      <w:color w:val="4F81BD" w:themeColor="accent1"/>
    </w:rPr>
  </w:style>
  <w:style w:type="character" w:styleId="ListLabel1" w:customStyle="1">
    <w:name w:val="ListLabel 1"/>
    <w:qFormat/>
    <w:rsid w:val="003f4f99"/>
    <w:rPr>
      <w:rFonts w:eastAsia="Arial Narrow"/>
    </w:rPr>
  </w:style>
  <w:style w:type="character" w:styleId="ListLabel2" w:customStyle="1">
    <w:name w:val="ListLabel 2"/>
    <w:qFormat/>
    <w:rsid w:val="003f4f99"/>
    <w:rPr>
      <w:rFonts w:eastAsia="Arial Narrow"/>
    </w:rPr>
  </w:style>
  <w:style w:type="character" w:styleId="ListLabel3" w:customStyle="1">
    <w:name w:val="ListLabel 3"/>
    <w:qFormat/>
    <w:rsid w:val="003f4f99"/>
    <w:rPr>
      <w:rFonts w:eastAsia="Arial Narrow"/>
    </w:rPr>
  </w:style>
  <w:style w:type="character" w:styleId="ListLabel4" w:customStyle="1">
    <w:name w:val="ListLabel 4"/>
    <w:qFormat/>
    <w:rsid w:val="003f4f99"/>
    <w:rPr>
      <w:rFonts w:eastAsia="Arial Narrow"/>
    </w:rPr>
  </w:style>
  <w:style w:type="character" w:styleId="ListLabel5" w:customStyle="1">
    <w:name w:val="ListLabel 5"/>
    <w:qFormat/>
    <w:rsid w:val="003f4f99"/>
    <w:rPr>
      <w:rFonts w:eastAsia="Arial Narrow"/>
    </w:rPr>
  </w:style>
  <w:style w:type="character" w:styleId="ListLabel6" w:customStyle="1">
    <w:name w:val="ListLabel 6"/>
    <w:qFormat/>
    <w:rsid w:val="003f4f99"/>
    <w:rPr>
      <w:rFonts w:eastAsia="Arial Narrow"/>
    </w:rPr>
  </w:style>
  <w:style w:type="character" w:styleId="ListLabel7" w:customStyle="1">
    <w:name w:val="ListLabel 7"/>
    <w:qFormat/>
    <w:rsid w:val="003f4f99"/>
    <w:rPr>
      <w:rFonts w:eastAsia="Arial Narrow"/>
    </w:rPr>
  </w:style>
  <w:style w:type="character" w:styleId="ListLabel8" w:customStyle="1">
    <w:name w:val="ListLabel 8"/>
    <w:qFormat/>
    <w:rsid w:val="003f4f99"/>
    <w:rPr>
      <w:rFonts w:eastAsia="Arial Narrow"/>
    </w:rPr>
  </w:style>
  <w:style w:type="character" w:styleId="ListLabel9" w:customStyle="1">
    <w:name w:val="ListLabel 9"/>
    <w:qFormat/>
    <w:rsid w:val="003f4f99"/>
    <w:rPr>
      <w:b/>
    </w:rPr>
  </w:style>
  <w:style w:type="character" w:styleId="ListLabel10" w:customStyle="1">
    <w:name w:val="ListLabel 10"/>
    <w:qFormat/>
    <w:rsid w:val="003f4f99"/>
    <w:rPr>
      <w:b/>
    </w:rPr>
  </w:style>
  <w:style w:type="character" w:styleId="ListLabel11" w:customStyle="1">
    <w:name w:val="ListLabel 11"/>
    <w:qFormat/>
    <w:rsid w:val="003f4f99"/>
    <w:rPr>
      <w:b/>
    </w:rPr>
  </w:style>
  <w:style w:type="character" w:styleId="ListLabel12" w:customStyle="1">
    <w:name w:val="ListLabel 12"/>
    <w:qFormat/>
    <w:rsid w:val="003f4f99"/>
    <w:rPr>
      <w:b/>
    </w:rPr>
  </w:style>
  <w:style w:type="character" w:styleId="ListLabel13" w:customStyle="1">
    <w:name w:val="ListLabel 13"/>
    <w:qFormat/>
    <w:rsid w:val="003f4f99"/>
    <w:rPr>
      <w:b/>
    </w:rPr>
  </w:style>
  <w:style w:type="character" w:styleId="ListLabel14" w:customStyle="1">
    <w:name w:val="ListLabel 14"/>
    <w:qFormat/>
    <w:rsid w:val="003f4f99"/>
    <w:rPr>
      <w:b/>
    </w:rPr>
  </w:style>
  <w:style w:type="character" w:styleId="ListLabel15" w:customStyle="1">
    <w:name w:val="ListLabel 15"/>
    <w:qFormat/>
    <w:rsid w:val="003f4f99"/>
    <w:rPr>
      <w:b/>
    </w:rPr>
  </w:style>
  <w:style w:type="character" w:styleId="ListLabel16" w:customStyle="1">
    <w:name w:val="ListLabel 16"/>
    <w:qFormat/>
    <w:rsid w:val="003f4f99"/>
    <w:rPr>
      <w:b/>
    </w:rPr>
  </w:style>
  <w:style w:type="character" w:styleId="ListLabel17" w:customStyle="1">
    <w:name w:val="ListLabel 17"/>
    <w:qFormat/>
    <w:rsid w:val="003f4f99"/>
    <w:rPr>
      <w:b/>
    </w:rPr>
  </w:style>
  <w:style w:type="character" w:styleId="ListLabel18" w:customStyle="1">
    <w:name w:val="ListLabel 18"/>
    <w:qFormat/>
    <w:rsid w:val="003f4f99"/>
    <w:rPr>
      <w:rFonts w:eastAsia="Arial Narrow"/>
    </w:rPr>
  </w:style>
  <w:style w:type="character" w:styleId="ListLabel19" w:customStyle="1">
    <w:name w:val="ListLabel 19"/>
    <w:qFormat/>
    <w:rsid w:val="003f4f99"/>
    <w:rPr>
      <w:rFonts w:eastAsia="Arial Narrow"/>
    </w:rPr>
  </w:style>
  <w:style w:type="character" w:styleId="ListLabel20" w:customStyle="1">
    <w:name w:val="ListLabel 20"/>
    <w:qFormat/>
    <w:rsid w:val="003f4f99"/>
    <w:rPr>
      <w:rFonts w:eastAsia="Arial Narrow"/>
    </w:rPr>
  </w:style>
  <w:style w:type="character" w:styleId="ListLabel21" w:customStyle="1">
    <w:name w:val="ListLabel 21"/>
    <w:qFormat/>
    <w:rsid w:val="003f4f99"/>
    <w:rPr>
      <w:rFonts w:eastAsia="Arial Narrow"/>
    </w:rPr>
  </w:style>
  <w:style w:type="character" w:styleId="ListLabel22" w:customStyle="1">
    <w:name w:val="ListLabel 22"/>
    <w:qFormat/>
    <w:rsid w:val="003f4f99"/>
    <w:rPr>
      <w:rFonts w:eastAsia="Arial Narrow"/>
    </w:rPr>
  </w:style>
  <w:style w:type="character" w:styleId="ListLabel23" w:customStyle="1">
    <w:name w:val="ListLabel 23"/>
    <w:qFormat/>
    <w:rsid w:val="003f4f99"/>
    <w:rPr>
      <w:rFonts w:eastAsia="Arial Narrow"/>
    </w:rPr>
  </w:style>
  <w:style w:type="character" w:styleId="ListLabel24" w:customStyle="1">
    <w:name w:val="ListLabel 24"/>
    <w:qFormat/>
    <w:rsid w:val="003f4f99"/>
    <w:rPr>
      <w:rFonts w:eastAsia="Arial Narrow"/>
    </w:rPr>
  </w:style>
  <w:style w:type="character" w:styleId="ListLabel25" w:customStyle="1">
    <w:name w:val="ListLabel 25"/>
    <w:qFormat/>
    <w:rsid w:val="003f4f99"/>
    <w:rPr>
      <w:rFonts w:eastAsia="Arial Narrow"/>
    </w:rPr>
  </w:style>
  <w:style w:type="character" w:styleId="ListLabel26" w:customStyle="1">
    <w:name w:val="ListLabel 26"/>
    <w:qFormat/>
    <w:rsid w:val="003f4f99"/>
    <w:rPr>
      <w:b w:val="false"/>
    </w:rPr>
  </w:style>
  <w:style w:type="character" w:styleId="ListLabel27" w:customStyle="1">
    <w:name w:val="ListLabel 27"/>
    <w:qFormat/>
    <w:rsid w:val="003f4f99"/>
    <w:rPr>
      <w:color w:val="auto"/>
      <w:szCs w:val="20"/>
      <w:u w:val="none"/>
    </w:rPr>
  </w:style>
  <w:style w:type="character" w:styleId="ListLabel28" w:customStyle="1">
    <w:name w:val="ListLabel 28"/>
    <w:qFormat/>
    <w:rsid w:val="003f4f99"/>
    <w:rPr>
      <w:rFonts w:eastAsia="Times New Roman"/>
      <w:b/>
      <w:color w:val="auto"/>
      <w:szCs w:val="24"/>
      <w:u w:val="none"/>
      <w:lang w:eastAsia="zh-CN"/>
    </w:rPr>
  </w:style>
  <w:style w:type="character" w:styleId="Czeindeksu" w:customStyle="1">
    <w:name w:val="Łącze indeksu"/>
    <w:qFormat/>
    <w:rsid w:val="003f4f99"/>
    <w:rPr/>
  </w:style>
  <w:style w:type="character" w:styleId="ListLabel29" w:customStyle="1">
    <w:name w:val="ListLabel 29"/>
    <w:qFormat/>
    <w:rsid w:val="003f4f99"/>
    <w:rPr>
      <w:color w:val="auto"/>
      <w:szCs w:val="20"/>
      <w:u w:val="none"/>
    </w:rPr>
  </w:style>
  <w:style w:type="character" w:styleId="ListLabel30" w:customStyle="1">
    <w:name w:val="ListLabel 30"/>
    <w:qFormat/>
    <w:rsid w:val="003f4f99"/>
    <w:rPr>
      <w:rFonts w:eastAsia="Times New Roman"/>
      <w:b/>
      <w:color w:val="CE181E"/>
      <w:szCs w:val="24"/>
      <w:u w:val="none"/>
      <w:lang w:eastAsia="zh-CN"/>
    </w:rPr>
  </w:style>
  <w:style w:type="character" w:styleId="ListLabel31">
    <w:name w:val="ListLabel 31"/>
    <w:qFormat/>
    <w:rPr>
      <w:rFonts w:cs="Symbol"/>
      <w:b/>
    </w:rPr>
  </w:style>
  <w:style w:type="character" w:styleId="ListLabel32">
    <w:name w:val="ListLabel 32"/>
    <w:qFormat/>
    <w:rPr>
      <w:rFonts w:cs="OpenSymbol"/>
      <w:b/>
    </w:rPr>
  </w:style>
  <w:style w:type="character" w:styleId="ListLabel33">
    <w:name w:val="ListLabel 33"/>
    <w:qFormat/>
    <w:rPr>
      <w:rFonts w:cs="OpenSymbol"/>
      <w:b/>
    </w:rPr>
  </w:style>
  <w:style w:type="character" w:styleId="ListLabel34">
    <w:name w:val="ListLabel 34"/>
    <w:qFormat/>
    <w:rPr>
      <w:rFonts w:cs="Symbol"/>
      <w:b/>
    </w:rPr>
  </w:style>
  <w:style w:type="character" w:styleId="ListLabel35">
    <w:name w:val="ListLabel 35"/>
    <w:qFormat/>
    <w:rPr>
      <w:rFonts w:cs="OpenSymbol"/>
      <w:b/>
    </w:rPr>
  </w:style>
  <w:style w:type="character" w:styleId="ListLabel36">
    <w:name w:val="ListLabel 36"/>
    <w:qFormat/>
    <w:rPr>
      <w:rFonts w:cs="OpenSymbol"/>
      <w:b/>
    </w:rPr>
  </w:style>
  <w:style w:type="character" w:styleId="ListLabel37">
    <w:name w:val="ListLabel 37"/>
    <w:qFormat/>
    <w:rPr>
      <w:rFonts w:cs="Symbol"/>
      <w:b/>
    </w:rPr>
  </w:style>
  <w:style w:type="character" w:styleId="ListLabel38">
    <w:name w:val="ListLabel 38"/>
    <w:qFormat/>
    <w:rPr>
      <w:rFonts w:cs="OpenSymbol"/>
      <w:b/>
    </w:rPr>
  </w:style>
  <w:style w:type="character" w:styleId="ListLabel39">
    <w:name w:val="ListLabel 39"/>
    <w:qFormat/>
    <w:rPr>
      <w:rFonts w:cs="OpenSymbol"/>
    </w:rPr>
  </w:style>
  <w:style w:type="character" w:styleId="ListLabel40">
    <w:name w:val="ListLabel 40"/>
    <w:qFormat/>
    <w:rPr>
      <w:rFonts w:cs="Times New Roman"/>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Times New Roman"/>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color w:val="auto"/>
      <w:szCs w:val="20"/>
      <w:u w:val="none"/>
    </w:rPr>
  </w:style>
  <w:style w:type="character" w:styleId="ListLabel49">
    <w:name w:val="ListLabel 49"/>
    <w:qFormat/>
    <w:rPr>
      <w:rFonts w:eastAsia="Times New Roman"/>
      <w:b/>
      <w:color w:val="CE181E"/>
      <w:szCs w:val="24"/>
      <w:u w:val="none"/>
      <w:lang w:eastAsia="zh-CN"/>
    </w:rPr>
  </w:style>
  <w:style w:type="character" w:styleId="ListLabel50">
    <w:name w:val="ListLabel 50"/>
    <w:qFormat/>
    <w:rPr>
      <w:rFonts w:cs="Times New Roman"/>
    </w:rPr>
  </w:style>
  <w:style w:type="character" w:styleId="ListLabel51">
    <w:name w:val="ListLabel 51"/>
    <w:qFormat/>
    <w:rPr>
      <w:rFonts w:cs="Courier New"/>
    </w:rPr>
  </w:style>
  <w:style w:type="character" w:styleId="ListLabel52">
    <w:name w:val="ListLabel 52"/>
    <w:qFormat/>
    <w:rPr>
      <w:rFonts w:cs="Wingdings"/>
    </w:rPr>
  </w:style>
  <w:style w:type="character" w:styleId="ListLabel53">
    <w:name w:val="ListLabel 53"/>
    <w:qFormat/>
    <w:rPr>
      <w:rFonts w:cs="Symbol"/>
    </w:rPr>
  </w:style>
  <w:style w:type="character" w:styleId="ListLabel54">
    <w:name w:val="ListLabel 54"/>
    <w:qFormat/>
    <w:rPr>
      <w:rFonts w:cs="Courier New"/>
    </w:rPr>
  </w:style>
  <w:style w:type="character" w:styleId="ListLabel55">
    <w:name w:val="ListLabel 55"/>
    <w:qFormat/>
    <w:rPr>
      <w:rFonts w:cs="Wingdings"/>
    </w:rPr>
  </w:style>
  <w:style w:type="character" w:styleId="ListLabel56">
    <w:name w:val="ListLabel 56"/>
    <w:qFormat/>
    <w:rPr>
      <w:rFonts w:cs="Symbol"/>
    </w:rPr>
  </w:style>
  <w:style w:type="character" w:styleId="ListLabel57">
    <w:name w:val="ListLabel 57"/>
    <w:qFormat/>
    <w:rPr>
      <w:rFonts w:cs="Courier New"/>
    </w:rPr>
  </w:style>
  <w:style w:type="character" w:styleId="ListLabel58">
    <w:name w:val="ListLabel 58"/>
    <w:qFormat/>
    <w:rPr>
      <w:rFonts w:cs="Wingdings"/>
    </w:rPr>
  </w:style>
  <w:style w:type="character" w:styleId="ListLabel59">
    <w:name w:val="ListLabel 59"/>
    <w:qFormat/>
    <w:rPr>
      <w:color w:val="auto"/>
      <w:szCs w:val="20"/>
      <w:u w:val="none"/>
    </w:rPr>
  </w:style>
  <w:style w:type="character" w:styleId="ListLabel60">
    <w:name w:val="ListLabel 60"/>
    <w:qFormat/>
    <w:rPr>
      <w:rFonts w:eastAsia="Times New Roman"/>
      <w:b/>
      <w:color w:val="CE181E"/>
      <w:szCs w:val="24"/>
      <w:u w:val="none"/>
      <w:lang w:eastAsia="zh-CN"/>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rsid w:val="003f4f99"/>
    <w:pPr>
      <w:spacing w:lineRule="auto" w:line="276" w:before="0" w:after="140"/>
    </w:pPr>
    <w:rPr/>
  </w:style>
  <w:style w:type="paragraph" w:styleId="Lista">
    <w:name w:val="List"/>
    <w:basedOn w:val="Tretekstu"/>
    <w:rsid w:val="003f4f99"/>
    <w:pPr/>
    <w:rPr>
      <w:rFonts w:cs="Arial"/>
    </w:rPr>
  </w:style>
  <w:style w:type="paragraph" w:styleId="Podpis" w:customStyle="1">
    <w:name w:val="Caption"/>
    <w:basedOn w:val="Normal"/>
    <w:qFormat/>
    <w:rsid w:val="003f4f99"/>
    <w:pPr>
      <w:suppressLineNumbers/>
      <w:spacing w:before="120" w:after="120"/>
    </w:pPr>
    <w:rPr>
      <w:rFonts w:cs="Arial"/>
      <w:i/>
      <w:iCs/>
      <w:szCs w:val="24"/>
    </w:rPr>
  </w:style>
  <w:style w:type="paragraph" w:styleId="Indeks" w:customStyle="1">
    <w:name w:val="Indeks"/>
    <w:basedOn w:val="Normal"/>
    <w:qFormat/>
    <w:rsid w:val="003f4f99"/>
    <w:pPr>
      <w:suppressLineNumbers/>
    </w:pPr>
    <w:rPr>
      <w:rFonts w:cs="Arial"/>
    </w:rPr>
  </w:style>
  <w:style w:type="paragraph" w:styleId="Gwka" w:customStyle="1">
    <w:name w:val="Header"/>
    <w:basedOn w:val="Normal"/>
    <w:link w:val="NagwekZnak"/>
    <w:uiPriority w:val="99"/>
    <w:semiHidden/>
    <w:unhideWhenUsed/>
    <w:rsid w:val="00d20b85"/>
    <w:pPr>
      <w:tabs>
        <w:tab w:val="center" w:pos="4536" w:leader="none"/>
        <w:tab w:val="right" w:pos="9072" w:leader="none"/>
      </w:tabs>
    </w:pPr>
    <w:rPr/>
  </w:style>
  <w:style w:type="paragraph" w:styleId="Default" w:customStyle="1">
    <w:name w:val="Default"/>
    <w:qFormat/>
    <w:rsid w:val="00193a25"/>
    <w:pPr>
      <w:widowControl/>
      <w:bidi w:val="0"/>
      <w:jc w:val="left"/>
    </w:pPr>
    <w:rPr>
      <w:rFonts w:ascii="Tahoma" w:hAnsi="Tahoma" w:eastAsia="Calibri" w:cs="Tahoma"/>
      <w:color w:val="000000"/>
      <w:kern w:val="0"/>
      <w:sz w:val="24"/>
      <w:szCs w:val="24"/>
      <w:lang w:val="pl-PL" w:eastAsia="en-US" w:bidi="ar-SA"/>
    </w:rPr>
  </w:style>
  <w:style w:type="paragraph" w:styleId="ListParagraph">
    <w:name w:val="List Paragraph"/>
    <w:basedOn w:val="Normal"/>
    <w:link w:val="AkapitzlistZnak"/>
    <w:uiPriority w:val="34"/>
    <w:qFormat/>
    <w:rsid w:val="000c3c0e"/>
    <w:pPr>
      <w:spacing w:before="0" w:after="0"/>
      <w:ind w:left="720" w:hanging="227"/>
      <w:contextualSpacing/>
    </w:pPr>
    <w:rPr/>
  </w:style>
  <w:style w:type="paragraph" w:styleId="NoSpacing">
    <w:name w:val="No Spacing"/>
    <w:uiPriority w:val="1"/>
    <w:qFormat/>
    <w:rsid w:val="003c772e"/>
    <w:pPr>
      <w:widowControl/>
      <w:bidi w:val="0"/>
      <w:jc w:val="left"/>
    </w:pPr>
    <w:rPr>
      <w:rFonts w:ascii="Times New Roman" w:hAnsi="Times New Roman" w:eastAsia="Calibri" w:cs="Times New Roman" w:eastAsiaTheme="minorHAnsi"/>
      <w:color w:val="auto"/>
      <w:kern w:val="0"/>
      <w:sz w:val="24"/>
      <w:szCs w:val="22"/>
      <w:lang w:val="pl-PL" w:eastAsia="en-US" w:bidi="ar-SA"/>
    </w:rPr>
  </w:style>
  <w:style w:type="paragraph" w:styleId="Tytu">
    <w:name w:val="Title"/>
    <w:basedOn w:val="Normal"/>
    <w:link w:val="TytuZnak"/>
    <w:uiPriority w:val="10"/>
    <w:qFormat/>
    <w:rsid w:val="003c772e"/>
    <w:pPr>
      <w:pBdr>
        <w:bottom w:val="single" w:sz="8" w:space="4" w:color="4F81BD"/>
      </w:pBdr>
      <w:spacing w:before="0" w:after="300"/>
      <w:contextualSpacing/>
    </w:pPr>
    <w:rPr>
      <w:rFonts w:ascii="Cambria" w:hAnsi="Cambria" w:eastAsia="" w:cs="" w:asciiTheme="majorHAnsi" w:cstheme="majorBidi" w:eastAsiaTheme="majorEastAsia" w:hAnsiTheme="majorHAnsi"/>
      <w:color w:val="17365D" w:themeColor="text2" w:themeShade="bf"/>
      <w:spacing w:val="5"/>
      <w:kern w:val="2"/>
      <w:sz w:val="52"/>
      <w:szCs w:val="52"/>
    </w:rPr>
  </w:style>
  <w:style w:type="paragraph" w:styleId="Podtytu">
    <w:name w:val="Subtitle"/>
    <w:basedOn w:val="Normal"/>
    <w:link w:val="PodtytuZnak"/>
    <w:uiPriority w:val="11"/>
    <w:qFormat/>
    <w:rsid w:val="003c772e"/>
    <w:pPr/>
    <w:rPr>
      <w:rFonts w:ascii="Cambria" w:hAnsi="Cambria" w:eastAsia="" w:cs="" w:asciiTheme="majorHAnsi" w:cstheme="majorBidi" w:eastAsiaTheme="majorEastAsia" w:hAnsiTheme="majorHAnsi"/>
      <w:i/>
      <w:iCs/>
      <w:color w:val="4F81BD" w:themeColor="accent1"/>
      <w:spacing w:val="15"/>
      <w:szCs w:val="24"/>
    </w:rPr>
  </w:style>
  <w:style w:type="paragraph" w:styleId="Artyku" w:customStyle="1">
    <w:name w:val="Artykuł"/>
    <w:basedOn w:val="ListParagraph"/>
    <w:link w:val="ArtykuZnak"/>
    <w:qFormat/>
    <w:rsid w:val="003c772e"/>
    <w:pPr/>
    <w:rPr>
      <w:b/>
    </w:rPr>
  </w:style>
  <w:style w:type="paragraph" w:styleId="Ustp" w:customStyle="1">
    <w:name w:val="Ustęp"/>
    <w:basedOn w:val="ListParagraph"/>
    <w:link w:val="UstpZnak"/>
    <w:qFormat/>
    <w:rsid w:val="003c772e"/>
    <w:pPr>
      <w:widowControl w:val="false"/>
      <w:suppressAutoHyphens w:val="true"/>
      <w:overflowPunct w:val="false"/>
      <w:jc w:val="both"/>
      <w:textAlignment w:val="baseline"/>
    </w:pPr>
    <w:rPr>
      <w:rFonts w:eastAsia="Arial Narrow"/>
      <w:kern w:val="2"/>
      <w:szCs w:val="18"/>
      <w:lang w:eastAsia="pl-PL"/>
    </w:rPr>
  </w:style>
  <w:style w:type="paragraph" w:styleId="Punkt" w:customStyle="1">
    <w:name w:val="Punkt"/>
    <w:basedOn w:val="Normal"/>
    <w:link w:val="PunktZnak"/>
    <w:qFormat/>
    <w:rsid w:val="003c772e"/>
    <w:pPr>
      <w:widowControl w:val="false"/>
      <w:suppressAutoHyphens w:val="true"/>
      <w:overflowPunct w:val="false"/>
      <w:ind w:left="0" w:firstLine="357"/>
      <w:jc w:val="both"/>
      <w:textAlignment w:val="baseline"/>
    </w:pPr>
    <w:rPr>
      <w:rFonts w:eastAsia="Arial Narrow"/>
      <w:kern w:val="2"/>
      <w:szCs w:val="18"/>
      <w:lang w:eastAsia="pl-PL"/>
    </w:rPr>
  </w:style>
  <w:style w:type="paragraph" w:styleId="Podpunkt" w:customStyle="1">
    <w:name w:val="Podpunkt"/>
    <w:basedOn w:val="Normal"/>
    <w:link w:val="PodpunktZnak"/>
    <w:qFormat/>
    <w:rsid w:val="005823b4"/>
    <w:pPr>
      <w:widowControl w:val="false"/>
      <w:suppressAutoHyphens w:val="true"/>
      <w:overflowPunct w:val="false"/>
      <w:ind w:left="158" w:hanging="0"/>
      <w:jc w:val="both"/>
      <w:textAlignment w:val="baseline"/>
    </w:pPr>
    <w:rPr>
      <w:rFonts w:eastAsia="Arial Narrow"/>
      <w:kern w:val="2"/>
      <w:szCs w:val="18"/>
      <w:lang w:eastAsia="pl-PL"/>
    </w:rPr>
  </w:style>
  <w:style w:type="paragraph" w:styleId="Podpodpunkt" w:customStyle="1">
    <w:name w:val="Pod podpunkt"/>
    <w:basedOn w:val="Normal"/>
    <w:link w:val="PodpodpunktZnak"/>
    <w:qFormat/>
    <w:rsid w:val="005823b4"/>
    <w:pPr>
      <w:widowControl w:val="false"/>
      <w:suppressAutoHyphens w:val="true"/>
      <w:overflowPunct w:val="false"/>
      <w:ind w:left="-284" w:firstLine="442"/>
      <w:jc w:val="both"/>
      <w:textAlignment w:val="baseline"/>
    </w:pPr>
    <w:rPr>
      <w:rFonts w:eastAsia="Arial Narrow"/>
      <w:kern w:val="2"/>
      <w:szCs w:val="18"/>
      <w:lang w:eastAsia="pl-PL"/>
    </w:rPr>
  </w:style>
  <w:style w:type="paragraph" w:styleId="Stopka" w:customStyle="1">
    <w:name w:val="Footer"/>
    <w:basedOn w:val="Normal"/>
    <w:link w:val="StopkaZnak"/>
    <w:uiPriority w:val="99"/>
    <w:unhideWhenUsed/>
    <w:rsid w:val="00d20b85"/>
    <w:pPr>
      <w:tabs>
        <w:tab w:val="center" w:pos="4536" w:leader="none"/>
        <w:tab w:val="right" w:pos="9072" w:leader="none"/>
      </w:tabs>
    </w:pPr>
    <w:rPr/>
  </w:style>
  <w:style w:type="paragraph" w:styleId="TOCHeading">
    <w:name w:val="TOC Heading"/>
    <w:basedOn w:val="Nagwek1"/>
    <w:uiPriority w:val="39"/>
    <w:semiHidden/>
    <w:unhideWhenUsed/>
    <w:qFormat/>
    <w:rsid w:val="002c601c"/>
    <w:pPr>
      <w:spacing w:lineRule="auto" w:line="276"/>
      <w:ind w:left="0" w:hanging="0"/>
    </w:pPr>
    <w:rPr>
      <w:rFonts w:ascii="Cambria" w:hAnsi="Cambria" w:asciiTheme="majorHAnsi" w:hAnsiTheme="majorHAnsi"/>
      <w:color w:val="365F91" w:themeColor="accent1" w:themeShade="bf"/>
      <w:sz w:val="28"/>
    </w:rPr>
  </w:style>
  <w:style w:type="paragraph" w:styleId="Spistreci2" w:customStyle="1">
    <w:name w:val="TOC 2"/>
    <w:basedOn w:val="Normal"/>
    <w:autoRedefine/>
    <w:uiPriority w:val="39"/>
    <w:unhideWhenUsed/>
    <w:qFormat/>
    <w:rsid w:val="002c601c"/>
    <w:pPr>
      <w:spacing w:lineRule="auto" w:line="276" w:before="0" w:after="100"/>
      <w:ind w:left="220" w:hanging="0"/>
    </w:pPr>
    <w:rPr>
      <w:rFonts w:ascii="Calibri" w:hAnsi="Calibri" w:eastAsia="" w:cs="" w:asciiTheme="minorHAnsi" w:cstheme="minorBidi" w:eastAsiaTheme="minorEastAsia" w:hAnsiTheme="minorHAnsi"/>
      <w:sz w:val="22"/>
    </w:rPr>
  </w:style>
  <w:style w:type="paragraph" w:styleId="Spistreci1" w:customStyle="1">
    <w:name w:val="TOC 1"/>
    <w:basedOn w:val="Normal"/>
    <w:autoRedefine/>
    <w:uiPriority w:val="39"/>
    <w:unhideWhenUsed/>
    <w:qFormat/>
    <w:rsid w:val="002f3a8e"/>
    <w:pPr>
      <w:tabs>
        <w:tab w:val="left" w:pos="440" w:leader="none"/>
        <w:tab w:val="right" w:pos="10456" w:leader="dot"/>
      </w:tabs>
      <w:spacing w:lineRule="auto" w:line="276" w:before="0" w:after="100"/>
      <w:ind w:left="0" w:hanging="0"/>
    </w:pPr>
    <w:rPr>
      <w:rFonts w:eastAsia="" w:eastAsiaTheme="minorEastAsia"/>
      <w:sz w:val="22"/>
    </w:rPr>
  </w:style>
  <w:style w:type="paragraph" w:styleId="Spistreci3" w:customStyle="1">
    <w:name w:val="TOC 3"/>
    <w:basedOn w:val="Normal"/>
    <w:autoRedefine/>
    <w:uiPriority w:val="39"/>
    <w:semiHidden/>
    <w:unhideWhenUsed/>
    <w:qFormat/>
    <w:rsid w:val="002c601c"/>
    <w:pPr>
      <w:spacing w:lineRule="auto" w:line="276" w:before="0" w:after="100"/>
      <w:ind w:left="440" w:hanging="0"/>
    </w:pPr>
    <w:rPr>
      <w:rFonts w:ascii="Calibri" w:hAnsi="Calibri" w:eastAsia="" w:cs="" w:asciiTheme="minorHAnsi" w:cstheme="minorBidi" w:eastAsiaTheme="minorEastAsia" w:hAnsiTheme="minorHAnsi"/>
      <w:sz w:val="22"/>
    </w:rPr>
  </w:style>
  <w:style w:type="paragraph" w:styleId="BalloonText">
    <w:name w:val="Balloon Text"/>
    <w:basedOn w:val="Normal"/>
    <w:link w:val="TekstdymkaZnak"/>
    <w:uiPriority w:val="99"/>
    <w:semiHidden/>
    <w:unhideWhenUsed/>
    <w:qFormat/>
    <w:rsid w:val="002c601c"/>
    <w:pPr/>
    <w:rPr>
      <w:rFonts w:ascii="Tahoma" w:hAnsi="Tahoma" w:cs="Tahoma"/>
      <w:sz w:val="16"/>
      <w:szCs w:val="16"/>
    </w:rPr>
  </w:style>
  <w:style w:type="numbering" w:styleId="NoList" w:default="1">
    <w:name w:val="No List"/>
    <w:uiPriority w:val="99"/>
    <w:semiHidden/>
    <w:unhideWhenUsed/>
    <w:qFormat/>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miloslaw.bip.net.pl/" TargetMode="External"/><Relationship Id="rId4" Type="http://schemas.openxmlformats.org/officeDocument/2006/relationships/hyperlink" Target="mailto:przetargi@miloslaw.info.pl"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AC9E08-E909-4432-A0DE-6C83B4B78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1270</TotalTime>
  <Application>LibreOffice/6.0.5.2$Windows_x86 LibreOffice_project/54c8cbb85f300ac59db32fe8a675ff7683cd5a16</Application>
  <Pages>23</Pages>
  <Words>9490</Words>
  <Characters>61465</Characters>
  <CharactersWithSpaces>70717</CharactersWithSpaces>
  <Paragraphs>394</Paragraphs>
  <Company>UG</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2017-10-23T09:49:00Z</dcterms:created>
  <dc:creator>mbachorska</dc:creator>
  <dc:description/>
  <dc:language>pl-PL</dc:language>
  <cp:lastModifiedBy/>
  <cp:lastPrinted>2018-07-05T17:27:37Z</cp:lastPrinted>
  <dcterms:modified xsi:type="dcterms:W3CDTF">2018-07-06T08:37:14Z</dcterms:modified>
  <cp:revision>130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UG</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