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2020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Osiągnięty poziom ograniczenia masy odpadów komunalnych ulegających biodegradacji kierowanych do składowania [%]: 1,62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Osiągnięty poziom recyklingu, przygotowania do ponownego użycia następujących frakcji odpadów komunalnych: papieru, metali, tworzyw sztucznych i szkła [%]: 34,62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Osiągnięty poziom recyklingu, przygotowania do ponownego użycia i odzysku innymi metodami innych niż niebezpieczne odpadów budowlanych i rozbiórkowych [%]: 99,33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2019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Osiągnięty poziom ograniczenia masy odpadów komunalnych ulegających biodegradacji kierowanych do składowania [%]: 16,29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Osiągnięty poziom recyklingu, przygotowania do ponownego użycia następujących frakcji odpadów komunalnych: papieru, metali, tworzyw sztucznych i szkła [%]: 27,60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Osiągnięty poziom recyklingu, przygotowania do ponownego użycia i odzysku innymi metodami innych niż niebezpieczne odpadów budowlanych i rozbiórkowych [%]: 100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2018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Osiągnięty poziom ograniczenia masy odpadów komunalnych ulegających biodegradacji kierowanych do składowania [%]:18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Osiągnięty poziom recyklingu, przygotowania do ponownego użycia następujących frakcji odpadów komunalnych: papieru, metali, tworzyw sztucznych i szkła [%]: 27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Osiągnięty poziom recyklingu, przygotowania do ponownego użycia i odzysku innymi metodami innych niż niebezpieczne odpadów budowlanych i rozbiórkowych [%]: 100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2017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Osiągnięty poziom ograniczenia masy odpadów komunalnych ulegających biodegradacji kierowanych do składowania [%]: 21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Osiągnięty poziom recyklingu, przygotowania do ponownego użycia następujących frakcji odpadów komunalnych: papieru, metali, tworzyw sztucznych i szkła [%]: 26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Osiągnięty poziom recyklingu, przygotowania do ponownego użycia i odzysku innymi metodami innych niż niebezpieczne odpadów budowlanych i rozbiórkowych [%]: 100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2016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Osiągnięty poziom ograniczenia masy odpadów komunalnych ulegających biodegradacji kierowanych do składowania [%]: 24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Osiągnięty poziom recyklingu, przygotowania do ponownego użycia następujących frakcji odpadów komunalnych: papieru, metali, tworzyw sztucznych i szkła [%]: 38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Osiągnięty poziom recyklingu, przygotowania do ponownego użycia i odzysku innymi metodami innych niż niebezpieczne odpadów budowlanych i rozbiórkowych [%]: 86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2015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Osiągnięty poziom ograniczenia masy odpadów komunalnych ulegających biodegradacji kierowanych do składowania [%]: 2,33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Osiągnięty poziom recyklingu, przygotowania do ponownego użycia następujących frakcji odpadów komunalnych: papieru, metali, tworzyw sztucznych i szkła [%]: 27,1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Osiągnięty poziom recyklingu, przygotowania do ponownego użycia i odzysku innymi metodami innych niż niebezpieczne odpadów budowlanych i rozbiórkowych [%]: 100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2014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Osiągnięty poziom ograniczenia masy odpadów komunalnych ulegających biodegradacji kierowanych do składowania [%]: 11,6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Osiągnięty poziom recyklingu, przygotowania do ponownego użycia następujących frakcji odpadów komunalnych: papieru, metali, tworzyw sztucznych i szkła [%]: 29,8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Osiągnięty poziom recyklingu, przygotowania do ponownego użycia i odzysku innymi metodami innych niż niebezpieczne odpadów budowlanych i rozbiórkowych [%]: 88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2013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Osiągnięty poziom ograniczenia masy odpadów komunalnych ulegających biodegradacji kierowanych do składowania [%]: 42,9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Osiągnięty poziom recyklingu, przygotowania do ponownego użycia następujących frakcji odpadów komunalnych: papieru, metali, tworzyw sztucznych i szkła [%]: 12,50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Osiągnięty poziom recyklingu, przygotowania do ponownego użycia i odzysku innymi metodami innych niż niebezpieczne odpadów budowlanych i rozbiórkowych [%]: 100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modern"/>
    <w:pitch w:val="fixed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Lucida Sans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SimSun" w:cs="Lucida Sans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Lucida 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Lucida Sans"/>
    </w:rPr>
  </w:style>
  <w:style w:type="paragraph" w:styleId="Tekstwstpniesformatowany">
    <w:name w:val="Tekst wstępnie sformatowany"/>
    <w:basedOn w:val="Normal"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cp:revision>0</cp:revision>
</cp:coreProperties>
</file>