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Miejsca zagospodarowania odpadów </w:t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ekstwstpniesformatowany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Niesegregowane (zmieszane) odpady komunalne, bioodpady stanowiące odpady komunalne oraz pozostałości z sortowania odpadów komunalnych odebrane z terenu Gminy Miłosław są zagospodarowanie w Zakładzie Zagospodarowania Odpadów w Lulkowie, którego właścicielem jest firma Urbis Sp. z o.o. z siedzibą w Gnieźnie.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Mono">
    <w:altName w:val="Courier New"/>
    <w:charset w:val="ee"/>
    <w:family w:val="modern"/>
    <w:pitch w:val="fixed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Lucida Sans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SimSun" w:cs="Lucida Sans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Lucida Sans"/>
    </w:rPr>
  </w:style>
  <w:style w:type="paragraph" w:styleId="Podpis">
    <w:name w:val="Podpis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pPr>
      <w:suppressLineNumbers/>
    </w:pPr>
    <w:rPr>
      <w:rFonts w:cs="Lucida Sans"/>
    </w:rPr>
  </w:style>
  <w:style w:type="paragraph" w:styleId="Tekstwstpniesformatowany">
    <w:name w:val="Tekst wstępnie sformatowany"/>
    <w:basedOn w:val="Normal"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pl-PL</dc:language>
  <cp:revision>0</cp:revision>
</cp:coreProperties>
</file>